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13E78" w:rsidRDefault="00E13E78">
      <w:pPr>
        <w:rPr>
          <w:rFonts w:ascii="Times New Roman" w:hAnsi="Times New Roman"/>
          <w:sz w:val="24"/>
          <w:szCs w:val="24"/>
        </w:rPr>
      </w:pPr>
      <w:r w:rsidRPr="00E13E78">
        <w:rPr>
          <w:rFonts w:ascii="Times New Roman" w:hAnsi="Times New Roman"/>
          <w:sz w:val="24"/>
          <w:szCs w:val="24"/>
        </w:rPr>
        <w:t xml:space="preserve">UCHWAŁA NR XXXV/172/17 </w:t>
      </w:r>
      <w:r w:rsidRPr="00E13E78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13E78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w sprawie rozpatrzenia skargi nr 6/17 z dnia 18 maja 2017 r. na działalność Starosty Pyrzyckiego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E13E78">
        <w:rPr>
          <w:rFonts w:ascii="Times New Roman" w:hAnsi="Times New Roman"/>
          <w:sz w:val="24"/>
          <w:szCs w:val="24"/>
        </w:rPr>
        <w:t>pkt</w:t>
      </w:r>
      <w:proofErr w:type="spellEnd"/>
      <w:r w:rsidRPr="00E13E78">
        <w:rPr>
          <w:rFonts w:ascii="Times New Roman" w:hAnsi="Times New Roman"/>
          <w:sz w:val="24"/>
          <w:szCs w:val="24"/>
        </w:rPr>
        <w:t xml:space="preserve"> 11 ustawy z dnia 5 czerwca 1998 roku o samorządzie powiatowym (t. j. Dz. U. z 2016 r. poz. 814, zm.: poz. 1579, poz. 1948, z 2017 r. poz. 730) oraz art. 229 </w:t>
      </w:r>
      <w:proofErr w:type="spellStart"/>
      <w:r w:rsidRPr="00E13E78">
        <w:rPr>
          <w:rFonts w:ascii="Times New Roman" w:hAnsi="Times New Roman"/>
          <w:sz w:val="24"/>
          <w:szCs w:val="24"/>
        </w:rPr>
        <w:t>pkt</w:t>
      </w:r>
      <w:proofErr w:type="spellEnd"/>
      <w:r w:rsidRPr="00E13E78">
        <w:rPr>
          <w:rFonts w:ascii="Times New Roman" w:hAnsi="Times New Roman"/>
          <w:sz w:val="24"/>
          <w:szCs w:val="24"/>
        </w:rPr>
        <w:t xml:space="preserve"> 4 i art. 239 ustawy z dnia 14 czerwca 1960 r. Kodeks postępowania administracyjnego (t. j. Dz. U. z 2016 r. poz. 23), Rada Powiatu uchwala, co następuje: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§1. Po rozpatrzeniu skargi nr 6/17 z dnia 18 maja 2017 r., uznaje skargę za bezzasadną z przyczyn określonych w uzasadnieniu.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§2. Zobowiązuje się Przewodniczącego Rady do zawiadomienia o sposobie załatwienia skargi Skarżącego.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§3. Uchwała wchodzi w życie z dniem podjęcia.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13E78">
        <w:rPr>
          <w:rFonts w:ascii="Times New Roman" w:hAnsi="Times New Roman"/>
          <w:sz w:val="24"/>
          <w:szCs w:val="24"/>
        </w:rPr>
        <w:br/>
      </w:r>
      <w:r w:rsidRPr="00E13E78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E13E7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3E78"/>
    <w:rsid w:val="00940EB8"/>
    <w:rsid w:val="00D73431"/>
    <w:rsid w:val="00E13E7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2021-11-15T08:30:00Z</dcterms:created>
  <dcterms:modified xsi:type="dcterms:W3CDTF">2021-11-15T08:30:00Z</dcterms:modified>
</cp:coreProperties>
</file>