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5A8C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UCHWAŁA NR XI/59/15</w:t>
      </w:r>
    </w:p>
    <w:p w14:paraId="497864A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RADY POWIATU PYRZYCKIEGO</w:t>
      </w:r>
    </w:p>
    <w:p w14:paraId="2ABB4D6A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z dnia 30 września 2015 r.</w:t>
      </w:r>
    </w:p>
    <w:p w14:paraId="6E95AC0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7EF67909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w sprawie określenia zasad gospodarowania nieruchomościami</w:t>
      </w:r>
    </w:p>
    <w:p w14:paraId="508E5A76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stanowiącymi własność Powiatu Pyrzyckiego</w:t>
      </w:r>
    </w:p>
    <w:p w14:paraId="00313504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7ACB8D40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Na podstawie art. 12 pkt 8 lit. a ustawy z dnia 5 czerwca 1998 r. o samorządzie powiatowym (Dz. U. z 2013, poz. 595 zmiany: Dz. U. z 2013 r., poz. 645; Dz. U. z 2014 r. poz. 379, poz. 1072; Dz. U. z 2015 r., poz. 871) w związku z art. 13 ust. 1 oraz art. 25a ustawy z dnia 21 sierpnia 1997 r. o gospodarce nieruchomościami (Dz. U. z 2015 r., poz. 782 zmiany: Dz. U. z 2015 r. poz. 1039) uchwala się co następuje:</w:t>
      </w:r>
    </w:p>
    <w:p w14:paraId="6DF6D64C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31880830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Rozdział 1.</w:t>
      </w:r>
    </w:p>
    <w:p w14:paraId="4AAEE68A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Przepisy ogólne</w:t>
      </w:r>
    </w:p>
    <w:p w14:paraId="32CF1274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4D03A935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1. 1. Uchwała określa zasady:</w:t>
      </w:r>
    </w:p>
    <w:p w14:paraId="207F3185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1) nabywania nieruchomości do zasobu powiatu;</w:t>
      </w:r>
    </w:p>
    <w:p w14:paraId="4A9B77EF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2) zbywania nieruchomości z zasobu powiatu;</w:t>
      </w:r>
    </w:p>
    <w:p w14:paraId="4954E3A4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3) obciążania nieruchomości ograniczonymi prawami rzeczowymi;</w:t>
      </w:r>
    </w:p>
    <w:p w14:paraId="58ADDFEC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4) oddawania nieruchomości w dzierżawę lub najem, na czas oznaczony dłuższy niż 3 lata lub na czas nieoznaczony, jak również zawierania przez strony kolejnych umów których przedmiotem jest ta sama nieruchomość.</w:t>
      </w:r>
    </w:p>
    <w:p w14:paraId="2174364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2. Zasady wynajmu lokali mieszkalnych stanowiących własność Powiatu Pyrzyckiego określone zostały odrębną uchwałą.</w:t>
      </w:r>
    </w:p>
    <w:p w14:paraId="02541273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2. Do powiatowego zasobu nieruchomości należą nieruchomości, które stanowią przedmiot własności powiatu i nie zostały oddane w użytkowanie wieczyste oraz nieruchomości będące przedmiotem użytkowania wieczystego powiatu.</w:t>
      </w:r>
    </w:p>
    <w:p w14:paraId="6E547D86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3. Ilekroć w uchwale jest mowa o:</w:t>
      </w:r>
    </w:p>
    <w:p w14:paraId="3A605CEB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1) Powiecie - należy przez to rozumieć Powiat Pyrzycki;</w:t>
      </w:r>
    </w:p>
    <w:p w14:paraId="1DD968AF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2) Zarządzie - należy przez to rozumieć Zarząd Powiatu Pyrzyckiego;</w:t>
      </w:r>
    </w:p>
    <w:p w14:paraId="3891B5BA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3) Ustawie - należy przez to rozumieć ustawę z dnia 21 sierpnia 1997 r. o gospodarce nieruchomościami (tekst jedn. Dz. U. z 2015 r., poz. 782).</w:t>
      </w:r>
    </w:p>
    <w:p w14:paraId="48F5643B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0913061A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lastRenderedPageBreak/>
        <w:t>Rozdział 2.</w:t>
      </w:r>
    </w:p>
    <w:p w14:paraId="39DDBEA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Nabywanie nieruchomości do zasobu powiatu</w:t>
      </w:r>
    </w:p>
    <w:p w14:paraId="0AE8EBA3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4. 1. Upoważnia się Zarząd do nabywania nieruchomości:</w:t>
      </w:r>
    </w:p>
    <w:p w14:paraId="24A47833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1) w celu realizacji potrzeb inwestycyjnych oraz zadań własnych;</w:t>
      </w:r>
    </w:p>
    <w:p w14:paraId="54A407E7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2) koniecznych do uregulowania stanów prawnych nieruchomości i uporządkowania stanu faktycznego.</w:t>
      </w:r>
    </w:p>
    <w:p w14:paraId="33D01EC8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2. W pozostałych przypadkach nabycie nieruchomości do zasobu wymaga zgody Rady Powiatu Pyrzyckiego.</w:t>
      </w:r>
    </w:p>
    <w:p w14:paraId="5239ADC8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5. Określa się następujące reguły nabywania nieruchomości w drodze rokowań:</w:t>
      </w:r>
    </w:p>
    <w:p w14:paraId="09CCA44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1) warunki nabycia nieruchomości ustala się w drodze rokowań prowadzonych przez dwóch członków Zarządu;</w:t>
      </w:r>
    </w:p>
    <w:p w14:paraId="0AC8053A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2) cena nabycia nieruchomości w drodze rokowań nie powinna przekroczyć wartości ustalonej przez rzeczoznawcę majątkowego, chyba że za nabyciem nieruchomości za wyższą cenę przemawiają szczególne okoliczności;</w:t>
      </w:r>
    </w:p>
    <w:p w14:paraId="367D4116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3) w sprawie nabycia nieruchomości sporządza się protokół uzgodnień zawierający istotne postanowienia do zawarcia umowy, a w szczególności: opis nieruchomości, dane dotyczące osoby właściciela (zbywcy nieruchomości), informację o przeznaczeniu nieruchomości w miejscowym planie zagospodarowania przestrzennego gminy oraz proponowaną cenę i warunki zapłaty.</w:t>
      </w:r>
    </w:p>
    <w:p w14:paraId="7E36B99D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147BA6F6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Rozdział 3.</w:t>
      </w:r>
    </w:p>
    <w:p w14:paraId="66C0E6A2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Zbywanie nieruchomości z zasobu powiatu</w:t>
      </w:r>
    </w:p>
    <w:p w14:paraId="115CC8B2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6. Nieruchomości wchodzące w skład powiatowego zasobu nieruchomości mogą zostać przeznaczone do sprzedaży lub oddania w użytkowanie wieczyste, jeżeli:</w:t>
      </w:r>
    </w:p>
    <w:p w14:paraId="2F8C0119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1) są zbędne dla rozwoju, prawidłowego funkcjonowania i wykonywania zadań własnych powiatu określonych przepisami prawa;</w:t>
      </w:r>
    </w:p>
    <w:p w14:paraId="2912EAE9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2) nie mogą być zagospodarowane przez jednostki organizacyjne powiatu;</w:t>
      </w:r>
    </w:p>
    <w:p w14:paraId="55CAA36B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3) nie jest możliwe, bądź opłacalne oddanie ich w posiadanie zależne.</w:t>
      </w:r>
    </w:p>
    <w:p w14:paraId="59EC113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7. 1. Upoważnia się Zarząd do zbywania nieruchomości, jeżeli:</w:t>
      </w:r>
    </w:p>
    <w:p w14:paraId="505E5B67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1) zbycie następuje w drodze zamiany;</w:t>
      </w:r>
    </w:p>
    <w:p w14:paraId="4EE55D20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2) przedmiotem zbycia jest nieruchomość lub jej część, jeśli mogą poprawić warunki zagospodarowania nieruchomości przyległej, stanowiącej własność lub oddanej w użytkowanie wieczyste osobie, która zamierza tę nieruchomość lub jej części nabyć, jeżeli nie mogą być zagospodarowane jako odrębne nieruchomości;</w:t>
      </w:r>
    </w:p>
    <w:p w14:paraId="5032853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2. W innych przypadkach zbycie nieruchomości wymaga zgody Rady Powiatu Pyrzyckiego.</w:t>
      </w:r>
    </w:p>
    <w:p w14:paraId="3D2E7596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3A61E212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Rozdział 4.</w:t>
      </w:r>
    </w:p>
    <w:p w14:paraId="582A9990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Obciążanie nieruchomości ograniczonymi prawami rzeczowymi</w:t>
      </w:r>
    </w:p>
    <w:p w14:paraId="75521F06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 xml:space="preserve">§ 8. Nieruchomości wchodzące w skład powiatowego zasobu nieruchomości mogą być obciążane ograniczonymi prawami rzeczowymi, a w szczególności użytkowaniem, służebnością (gruntową, </w:t>
      </w:r>
      <w:proofErr w:type="spellStart"/>
      <w:r w:rsidRPr="001F0C85">
        <w:rPr>
          <w:rFonts w:ascii="Times New Roman" w:hAnsi="Times New Roman"/>
          <w:sz w:val="24"/>
          <w:szCs w:val="24"/>
        </w:rPr>
        <w:t>przesyłu</w:t>
      </w:r>
      <w:proofErr w:type="spellEnd"/>
      <w:r w:rsidRPr="001F0C85">
        <w:rPr>
          <w:rFonts w:ascii="Times New Roman" w:hAnsi="Times New Roman"/>
          <w:sz w:val="24"/>
          <w:szCs w:val="24"/>
        </w:rPr>
        <w:t>), hipoteką.</w:t>
      </w:r>
    </w:p>
    <w:p w14:paraId="6A7D10BA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9. 1. Upoważnia się Zarząd do obciążania nieruchomości stanowiących własność Powiatu służebnością gruntową.</w:t>
      </w:r>
    </w:p>
    <w:p w14:paraId="5AF7B0F8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2. Obciążenie nieruchomości powiatu służebnością gruntową następuje za wynagrodzeniem, z zastrzeżeniem ust. 3.</w:t>
      </w:r>
    </w:p>
    <w:p w14:paraId="6B4D0E88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3. Obciążenie nieruchomości służebnością gruntową następuje nieodpłatnie, jeżeli:</w:t>
      </w:r>
    </w:p>
    <w:p w14:paraId="06335B97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1) ustanawiane są służebności wzajemne;</w:t>
      </w:r>
    </w:p>
    <w:p w14:paraId="7B4D5DC9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2) ustanowienie służebności następuje na rzecz Skarbu Państwa;</w:t>
      </w:r>
    </w:p>
    <w:p w14:paraId="6213CF1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3) ustanowienie służebności następuje na rzecz jednostki samorządu terytorialnego.</w:t>
      </w:r>
    </w:p>
    <w:p w14:paraId="2CFDAFB4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 xml:space="preserve">§ 10. 1. Upoważnia się Zarząd do obciążania nieruchomości stanowiących własność Powiatu służebnościami </w:t>
      </w:r>
      <w:proofErr w:type="spellStart"/>
      <w:r w:rsidRPr="001F0C85">
        <w:rPr>
          <w:rFonts w:ascii="Times New Roman" w:hAnsi="Times New Roman"/>
          <w:sz w:val="24"/>
          <w:szCs w:val="24"/>
        </w:rPr>
        <w:t>przesyłu</w:t>
      </w:r>
      <w:proofErr w:type="spellEnd"/>
      <w:r w:rsidRPr="001F0C85">
        <w:rPr>
          <w:rFonts w:ascii="Times New Roman" w:hAnsi="Times New Roman"/>
          <w:sz w:val="24"/>
          <w:szCs w:val="24"/>
        </w:rPr>
        <w:t xml:space="preserve"> na rzecz przedsiębiorców, którzy zamierzają wybudować lub których własność stanowią urządzenia służące do doprowadzania lub odprowadzania płynów, pary, gazu, energii elektrycznej, łączności oraz innych urządzeń podobnych (nadziemnych i podziemnych) nie należących do części składowych gruntu.</w:t>
      </w:r>
    </w:p>
    <w:p w14:paraId="1B4A6542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2. Postanowień ust. 1 nie stosuje się do gruntów stanowiących własność Powiatu znajdujących się w liniach rozgraniczających dróg, stosownie do przepisów ustawy z dnia 21 marca 1985 r. o drogach publicznych (jedn. tekst: Dz. U. z 2015 r., poz. 460).</w:t>
      </w:r>
    </w:p>
    <w:p w14:paraId="101B58CA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 xml:space="preserve">3. Wysokość opłat z tytułu obciążenia nieruchomości służebnością </w:t>
      </w:r>
      <w:proofErr w:type="spellStart"/>
      <w:r w:rsidRPr="001F0C85">
        <w:rPr>
          <w:rFonts w:ascii="Times New Roman" w:hAnsi="Times New Roman"/>
          <w:sz w:val="24"/>
          <w:szCs w:val="24"/>
        </w:rPr>
        <w:t>przesyłu</w:t>
      </w:r>
      <w:proofErr w:type="spellEnd"/>
      <w:r w:rsidRPr="001F0C85">
        <w:rPr>
          <w:rFonts w:ascii="Times New Roman" w:hAnsi="Times New Roman"/>
          <w:sz w:val="24"/>
          <w:szCs w:val="24"/>
        </w:rPr>
        <w:t xml:space="preserve"> oraz warunki udostępniania nieruchomości na potrzeby infrastruktury technicznej ustala Zarząd Powiatu.</w:t>
      </w:r>
    </w:p>
    <w:p w14:paraId="0429FFA0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5A40401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Rozdział 5.</w:t>
      </w:r>
    </w:p>
    <w:p w14:paraId="6DE89211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Oddawanie nieruchomości w dzierżawę lub najem, na czas oznaczony dłuższy niż 3 lata lub na czas nieoznaczony, jak również zawieranie przez strony kolejnych umów których przedmiotem jest ta sama nieruchomość</w:t>
      </w:r>
    </w:p>
    <w:p w14:paraId="0E3887D8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11. Nieruchomości wchodzące w skład powiatowego zasobu nieruchomości oddaje się w dzierżawę lub w najem, jeżeli nie służą do realizacji zadań powiatu określonych przepisami prawa i jest to ekonomicznie uzasadnione.</w:t>
      </w:r>
    </w:p>
    <w:p w14:paraId="29C03213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12. Okres dzierżawy lub najmu określa Zarząd Powiatu biorąc pod uwagę w szczególności:</w:t>
      </w:r>
    </w:p>
    <w:p w14:paraId="4D4DDD1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1) przeznaczenie i sposób zagospodarowania nieruchomości;</w:t>
      </w:r>
    </w:p>
    <w:p w14:paraId="3F28960D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2) konieczność poniesienia niezbędnych nakładów inwestycyjnych do korzystania z nieruchomości;</w:t>
      </w:r>
    </w:p>
    <w:p w14:paraId="13113583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lastRenderedPageBreak/>
        <w:t>3) przydatność i korzyść społeczną wynikającą z wydzierżawienia lub najmu.</w:t>
      </w:r>
    </w:p>
    <w:p w14:paraId="163E8C54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13. Zawarcie umowy dzierżawy lub najmu na czas oznaczony dłuższy niż 3 lata lub na czas nieoznaczony wymaga zgody Rady Powiatu. Zgoda Rady jest wymagana również w przypadku, gdy po umowie zawartej na czas oznaczony do 3 lat strony zawierają kolejne umowy, których przedmiotem jest ta sama nieruchomość.</w:t>
      </w:r>
    </w:p>
    <w:p w14:paraId="789A2CA8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14. 1. Minimalne stawki czynszu dzierżawy i czynszu najmu ustala Zarząd Powiatu w drodze uchwały.</w:t>
      </w:r>
    </w:p>
    <w:p w14:paraId="4DB0276F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2. W przypadku przeprowadzenia przetargu na dzierżawę lub najem nieruchomości, stawki czynszu o których mowa w ust. 1 stanowią stawki minimalne do przetargu.</w:t>
      </w:r>
    </w:p>
    <w:p w14:paraId="79E5B7A5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7CC32B79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Rozdział 6.</w:t>
      </w:r>
    </w:p>
    <w:p w14:paraId="6667CEF2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Postanowienia końcowe</w:t>
      </w:r>
    </w:p>
    <w:p w14:paraId="377AFBD9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15. Tracą moc uchwały:</w:t>
      </w:r>
    </w:p>
    <w:p w14:paraId="041C76D2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1. Uchwała Nr VIII/47/99 Rady Powiatu Pyrzyckiego z dnia 29 czerwca 1999 roku w sprawie sprzedaży lokali mieszkalnych i użytkowych oraz budynków stanowiących własność powiatu.</w:t>
      </w:r>
    </w:p>
    <w:p w14:paraId="5307189A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2. Uchwała Nr XXI/119/2000 Rady Powiatu w Pyrzycach z dnia 25 października 2000 r. w sprawie zmiany Uchwały Nr VIII/47/99 Rady Powiatu Pyrzyckiego z dnia 29 czerwca 1999 roku w sprawie sprzedaży lokali mieszkalnych i użytkowych oraz budynków stanowiących własność powiatu.</w:t>
      </w:r>
    </w:p>
    <w:p w14:paraId="52479C45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§ 16. Uchwała podlega ogłoszeniu w Dzienniku Urzędowym Województwa Zachodniopomorskiego i wchodzi w życie po upływie 14 dni od daty jej ogłoszenia.</w:t>
      </w:r>
    </w:p>
    <w:p w14:paraId="2042D21E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3E839494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58E7B6C6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Przewodniczący Rady</w:t>
      </w:r>
    </w:p>
    <w:p w14:paraId="4C5BAEEF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7452DAF7" w14:textId="77777777" w:rsidR="001F0C85" w:rsidRPr="001F0C85" w:rsidRDefault="001F0C85" w:rsidP="001F0C85">
      <w:pPr>
        <w:rPr>
          <w:rFonts w:ascii="Times New Roman" w:hAnsi="Times New Roman"/>
          <w:sz w:val="24"/>
          <w:szCs w:val="24"/>
        </w:rPr>
      </w:pPr>
    </w:p>
    <w:p w14:paraId="69961441" w14:textId="29A73543" w:rsidR="00D95476" w:rsidRPr="001F0C85" w:rsidRDefault="001F0C85" w:rsidP="001F0C85">
      <w:pPr>
        <w:rPr>
          <w:rFonts w:ascii="Times New Roman" w:hAnsi="Times New Roman"/>
          <w:sz w:val="24"/>
          <w:szCs w:val="24"/>
        </w:rPr>
      </w:pPr>
      <w:r w:rsidRPr="001F0C85">
        <w:rPr>
          <w:rFonts w:ascii="Times New Roman" w:hAnsi="Times New Roman"/>
          <w:sz w:val="24"/>
          <w:szCs w:val="24"/>
        </w:rPr>
        <w:t>Ryszard Berdzik</w:t>
      </w:r>
    </w:p>
    <w:sectPr w:rsidR="00D95476" w:rsidRPr="001F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85"/>
    <w:rsid w:val="001F0C85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CF48"/>
  <w15:chartTrackingRefBased/>
  <w15:docId w15:val="{5DDCA591-6619-46D9-B2E0-8AD49A7D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2021-11-11T12:12:00Z</dcterms:created>
  <dcterms:modified xsi:type="dcterms:W3CDTF">2021-11-11T12:12:00Z</dcterms:modified>
</cp:coreProperties>
</file>