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</w:rPr>
        <w:t>Pyrzyce, dnia 28.10.2021 r.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>ZAPYTANIE OFERTOWE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Z uwagi na wartość zamówienia, do niniejszego zamówienia nie stosuje się przepisów ustawy z dnia 11 września 2019r. Prawo zamówień publicznych (Dz. U. z 2021 r. poz. 1129 ze zmianami) </w:t>
        <w:br/>
        <w:t>w zw. z art. 2 ust. 1 pkt 1) ww. ustawy.</w:t>
      </w:r>
    </w:p>
    <w:p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jc w:val="center"/>
        <w:rPr>
          <w:color w:val="auto"/>
        </w:rPr>
      </w:pPr>
      <w:r>
        <w:rPr>
          <w:rFonts w:cs="Times New Roman" w:ascii="Times New Roman" w:hAnsi="Times New Roman"/>
          <w:b/>
          <w:i/>
          <w:color w:val="auto"/>
          <w:sz w:val="22"/>
          <w:szCs w:val="22"/>
        </w:rPr>
        <w:t>zapraszamy do składania ofert na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240" w:after="240"/>
        <w:ind w:left="425" w:hanging="425"/>
        <w:jc w:val="center"/>
        <w:rPr>
          <w:rFonts w:ascii="Arial" w:hAnsi="Arial" w:cs="Arial"/>
          <w:b/>
          <w:b/>
          <w:bCs/>
        </w:rPr>
      </w:pPr>
      <w:r>
        <w:rPr>
          <w:rStyle w:val="Normaltextrun"/>
          <w:rFonts w:eastAsia="Arial" w:cs="Arial" w:ascii="Times New Roman" w:hAnsi="Times New Roman"/>
          <w:b/>
          <w:bCs/>
        </w:rPr>
        <w:t>Wykonanie przeglądu okresowego (rocznego) 5 obiektów mostowych, 13 przepustów</w:t>
        <w:br/>
        <w:t>o rozpiętości w świetle równym lub większym niż 150 cm, oraz 319,042 km dróg powiatowych z pozostałymi przepustami bieżącymi w ich ciągu na terenie powiatu pyrzyckiego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 xml:space="preserve">Nazwa i adres zamawiającego: </w:t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Powiat Pyrzycki</w:t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ul. Lipiańska 4</w:t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74 – 200 Pyrzyce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color w:val="auto"/>
          <w:sz w:val="22"/>
          <w:szCs w:val="22"/>
          <w:lang w:val="en-US"/>
        </w:rPr>
        <w:t xml:space="preserve">Tel. 918811300; fax. 91 50 65 500; email: </w:t>
      </w:r>
      <w:hyperlink r:id="rId2">
        <w:r>
          <w:rPr>
            <w:rStyle w:val="Czeinternetowe"/>
            <w:rFonts w:cs="Times New Roman" w:ascii="Times New Roman" w:hAnsi="Times New Roman"/>
            <w:color w:val="auto"/>
            <w:sz w:val="22"/>
            <w:szCs w:val="22"/>
            <w:lang w:val="en-US"/>
          </w:rPr>
          <w:t>starostwo@pyrzyce.pl</w:t>
        </w:r>
      </w:hyperlink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en-US"/>
        </w:rPr>
      </w:r>
    </w:p>
    <w:p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Nazwa zamówienia:</w:t>
      </w:r>
    </w:p>
    <w:p>
      <w:pPr>
        <w:pStyle w:val="Default"/>
        <w:ind w:left="720" w:hanging="0"/>
        <w:jc w:val="both"/>
        <w:rPr>
          <w:color w:val="auto"/>
        </w:rPr>
      </w:pPr>
      <w:r>
        <w:rPr>
          <w:rStyle w:val="Normaltextrun"/>
          <w:rFonts w:eastAsia="Arial" w:cs="Arial" w:ascii="Times New Roman" w:hAnsi="Times New Roman"/>
          <w:color w:val="auto"/>
          <w:sz w:val="22"/>
          <w:szCs w:val="22"/>
          <w:lang w:eastAsia="pl-PL"/>
        </w:rPr>
        <w:t>Wykonanie przeglądu okresowego (rocznego) 5 obiektów mostowych, 13 przepustów</w:t>
        <w:br/>
        <w:t xml:space="preserve">o rozpiętości w świetle równym lub większym niż 150 cm, oraz 319,042 km dróg powiatowych </w:t>
        <w:br/>
        <w:t>z pozostałymi przepustami bieżącymi w ich ciągu na terenie powiatu pyrzyckiego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Opis przedmiotu zamówienia:</w:t>
      </w:r>
    </w:p>
    <w:p>
      <w:pPr>
        <w:pStyle w:val="Default"/>
        <w:ind w:left="284" w:hanging="284"/>
        <w:jc w:val="both"/>
        <w:rPr>
          <w:rFonts w:ascii="Times New Roman" w:hAnsi="Times New Roman" w:cs="Times New Roman"/>
          <w:b/>
          <w:b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  <w:u w:val="single"/>
        </w:rPr>
        <w:t>Przedmiot zamówienia obejmuje:</w:t>
      </w:r>
    </w:p>
    <w:p>
      <w:pPr>
        <w:pStyle w:val="Normal"/>
        <w:spacing w:lineRule="auto" w:line="240"/>
        <w:ind w:left="3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MT" w:cs="Arial" w:ascii="Times New Roman" w:hAnsi="Times New Roman"/>
          <w:sz w:val="24"/>
          <w:szCs w:val="24"/>
        </w:rPr>
        <w:t xml:space="preserve">1. Wykonanie przeglądu okresowego (rocznego) 5 obiektów mostowych, 13 przepustów </w:t>
        <w:br/>
        <w:t>o rozpiętości w świetle równym lub większym niż 150 cm, oraz 319,042 km dróg powiatowych z pozostałymi przepustami bieżącymi w ich ciągu na terenie powiatu pyrzyckiego.</w:t>
      </w:r>
    </w:p>
    <w:p>
      <w:pPr>
        <w:pStyle w:val="Normal"/>
        <w:spacing w:lineRule="auto" w:line="240"/>
        <w:ind w:left="3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2. Przedmiot zamówienia obejmuje wykonanie przeglądu rocznego czyli wykonanie okresowej kontroli stanu technicznego dróg, zgodnie z</w:t>
      </w:r>
      <w:r>
        <w:rPr>
          <w:rFonts w:eastAsia="Times New Roman" w:cs="Arial" w:ascii="Times New Roman" w:hAnsi="Times New Roman"/>
          <w:color w:val="000000"/>
          <w:sz w:val="24"/>
          <w:szCs w:val="24"/>
        </w:rPr>
        <w:t xml:space="preserve"> art. 62 ust. 1 pkt 2 i ust. 1a ustawy z dnia 7 lipca  1994 r. Prawo budowlane (Dz. U. Z 2020 r., poz. 1333)</w:t>
      </w:r>
      <w:r>
        <w:rPr>
          <w:rFonts w:eastAsia="Times New Roman" w:cs="Arial" w:ascii="Times New Roman" w:hAnsi="Times New Roman"/>
          <w:sz w:val="24"/>
          <w:szCs w:val="24"/>
        </w:rPr>
        <w:t xml:space="preserve"> oraz w oparciu o instrukcję GDDKiA Załącznik do Zarządzenia nr 14 Generalnego Dyrektora Dróg Krajowych i Autostrad z dnia 7 lipca 2005 roku.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3.</w:t>
      </w:r>
      <w:r>
        <w:rPr>
          <w:rFonts w:eastAsia="Times New Roman"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Arial" w:ascii="Times New Roman" w:hAnsi="Times New Roman"/>
          <w:sz w:val="24"/>
          <w:szCs w:val="24"/>
        </w:rPr>
        <w:t xml:space="preserve">Celem wykonania przeglądu jest zebranie informacji o stanie dróg zgodnie </w:t>
        <w:br/>
        <w:t>z obowiązującymi przepisami. Zebrane informacje stanowić będą wytyczne przy planowaniu zadań remontowych.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4. W ramach przeprowadzonego przeglądu dróg ocenie podlegać będą następujące elementy drogi: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 xml:space="preserve">a) jezdnia </w:t>
      </w:r>
    </w:p>
    <w:p>
      <w:pPr>
        <w:pStyle w:val="Normal"/>
        <w:numPr>
          <w:ilvl w:val="0"/>
          <w:numId w:val="6"/>
        </w:numPr>
        <w:spacing w:lineRule="auto" w:line="240"/>
        <w:ind w:left="1418" w:hanging="36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uszkodzenia powierzchniowe: właściwości przeciwpoślizgowe nawierzchni, ubytki powierzchniowe, wyboje (w tym zapadnięte studzienki i włazy), łaty, wgniecenia w warstwie ścieralnej,</w:t>
      </w:r>
    </w:p>
    <w:p>
      <w:pPr>
        <w:pStyle w:val="Normal"/>
        <w:numPr>
          <w:ilvl w:val="0"/>
          <w:numId w:val="6"/>
        </w:numPr>
        <w:spacing w:lineRule="auto" w:line="240"/>
        <w:ind w:left="1418" w:hanging="36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odkształcenia nawierzchni: koleiny, garby i przemieszczenia, sfalowania, zapadnięcia i osiadanie nawierzchni,</w:t>
      </w:r>
    </w:p>
    <w:p>
      <w:pPr>
        <w:pStyle w:val="Normal"/>
        <w:numPr>
          <w:ilvl w:val="0"/>
          <w:numId w:val="6"/>
        </w:numPr>
        <w:spacing w:lineRule="auto" w:line="240"/>
        <w:ind w:left="1418" w:hanging="36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spękania: połączenia technologiczne, spękania liniowe, spękania krawędziowe, spękania poprzeczne, spękania w śladach kół, spękania siatkowe.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 xml:space="preserve">b) chodniki </w:t>
      </w:r>
    </w:p>
    <w:p>
      <w:pPr>
        <w:pStyle w:val="Normal"/>
        <w:numPr>
          <w:ilvl w:val="0"/>
          <w:numId w:val="6"/>
        </w:numPr>
        <w:spacing w:lineRule="auto" w:line="240"/>
        <w:ind w:left="1418" w:hanging="36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 xml:space="preserve">ubytki i braki w nawierzchni, </w:t>
      </w:r>
    </w:p>
    <w:p>
      <w:pPr>
        <w:pStyle w:val="Normal"/>
        <w:numPr>
          <w:ilvl w:val="0"/>
          <w:numId w:val="6"/>
        </w:numPr>
        <w:spacing w:lineRule="auto" w:line="240"/>
        <w:ind w:left="1418" w:hanging="36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poprawność ułożenia elementów drobno wymiarowych,</w:t>
      </w:r>
    </w:p>
    <w:p>
      <w:pPr>
        <w:pStyle w:val="Normal"/>
        <w:numPr>
          <w:ilvl w:val="0"/>
          <w:numId w:val="6"/>
        </w:numPr>
        <w:spacing w:lineRule="auto" w:line="240"/>
        <w:ind w:left="1418" w:hanging="36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wyboje i garby,</w:t>
      </w:r>
    </w:p>
    <w:p>
      <w:pPr>
        <w:pStyle w:val="Normal"/>
        <w:numPr>
          <w:ilvl w:val="0"/>
          <w:numId w:val="6"/>
        </w:numPr>
        <w:spacing w:lineRule="auto" w:line="240"/>
        <w:ind w:left="1418" w:hanging="36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ubytki i braki w krawężniku,</w:t>
      </w:r>
    </w:p>
    <w:p>
      <w:pPr>
        <w:pStyle w:val="Normal"/>
        <w:numPr>
          <w:ilvl w:val="0"/>
          <w:numId w:val="6"/>
        </w:numPr>
        <w:spacing w:lineRule="auto" w:line="240"/>
        <w:ind w:left="1418" w:hanging="36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inne,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 xml:space="preserve">c) elementy odwodnienia, przepusty o średnicy poniżej 150 cm </w:t>
      </w:r>
    </w:p>
    <w:p>
      <w:pPr>
        <w:pStyle w:val="Normal"/>
        <w:numPr>
          <w:ilvl w:val="0"/>
          <w:numId w:val="6"/>
        </w:numPr>
        <w:spacing w:lineRule="auto" w:line="240"/>
        <w:ind w:left="1418" w:hanging="36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stan zamocowania kratek i studzienek kanalizacyjnych,</w:t>
      </w:r>
    </w:p>
    <w:p>
      <w:pPr>
        <w:pStyle w:val="Normal"/>
        <w:numPr>
          <w:ilvl w:val="0"/>
          <w:numId w:val="6"/>
        </w:numPr>
        <w:spacing w:lineRule="auto" w:line="240"/>
        <w:ind w:left="1418" w:hanging="36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zapadnięcia,</w:t>
      </w:r>
    </w:p>
    <w:p>
      <w:pPr>
        <w:pStyle w:val="Normal"/>
        <w:numPr>
          <w:ilvl w:val="0"/>
          <w:numId w:val="6"/>
        </w:numPr>
        <w:spacing w:lineRule="auto" w:line="240"/>
        <w:ind w:left="1418" w:hanging="36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inne.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5. W ramach przeprowadzonego przeglądu obiektów mostowych ocenie podlegać będzie:</w:t>
      </w:r>
    </w:p>
    <w:p>
      <w:pPr>
        <w:pStyle w:val="Normal"/>
        <w:numPr>
          <w:ilvl w:val="2"/>
          <w:numId w:val="6"/>
        </w:numPr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 xml:space="preserve">wykonanie oględzin obiektu i jego otoczenia oraz podstawowych badań </w:t>
        <w:br/>
        <w:t>i pomiarów,</w:t>
      </w:r>
    </w:p>
    <w:p>
      <w:pPr>
        <w:pStyle w:val="Normal"/>
        <w:numPr>
          <w:ilvl w:val="2"/>
          <w:numId w:val="6"/>
        </w:numPr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opracowanie protokołów z przeprowadzonych kontroli w postaci wydruków kart przeglądów wraz z wymaganymi załącznikami zgodnie ze wzorami zawartymi w instrukcji jw.,</w:t>
      </w:r>
    </w:p>
    <w:p>
      <w:pPr>
        <w:pStyle w:val="Normal"/>
        <w:numPr>
          <w:ilvl w:val="2"/>
          <w:numId w:val="6"/>
        </w:numPr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wykonanie dokumentacji fotograficznej obiektu i ewentualnych uszkodzeń,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przekazanie treści przeglądu w formie papierowej i elektronicznej.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 xml:space="preserve">6. Wykonawca dostarczy zamawiającemu protokoły z kontroli okresowej dróg podpisane przez osobę uprawnioną do </w:t>
        <w:tab/>
        <w:t xml:space="preserve">kierowania robotami budowlanymi bez ograniczeń </w:t>
        <w:br/>
        <w:t>o specjalności drogowej, zawierające:</w:t>
      </w:r>
    </w:p>
    <w:p>
      <w:pPr>
        <w:pStyle w:val="Normal"/>
        <w:numPr>
          <w:ilvl w:val="0"/>
          <w:numId w:val="8"/>
        </w:numPr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opis techniczny stanu istniejącego wszystkich elementów drogi z podaniem stosowanych odcinków wg odcinków międzyskrzyżowaniowych,</w:t>
      </w:r>
    </w:p>
    <w:p>
      <w:pPr>
        <w:pStyle w:val="Normal"/>
        <w:numPr>
          <w:ilvl w:val="2"/>
          <w:numId w:val="6"/>
        </w:numPr>
        <w:tabs>
          <w:tab w:val="clear" w:pos="708"/>
          <w:tab w:val="left" w:pos="345" w:leader="none"/>
        </w:tabs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ocenę możliwości użytkowania drogi,</w:t>
      </w:r>
    </w:p>
    <w:p>
      <w:pPr>
        <w:pStyle w:val="Normal"/>
        <w:numPr>
          <w:ilvl w:val="2"/>
          <w:numId w:val="6"/>
        </w:numPr>
        <w:tabs>
          <w:tab w:val="clear" w:pos="708"/>
          <w:tab w:val="left" w:pos="345" w:leader="none"/>
        </w:tabs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ocenę stanu technicznego i przydatności do użytkowania oraz poprawności montażu oznakowania pionowego oraz urządzeń bezpieczeństwa ruchu,</w:t>
      </w:r>
    </w:p>
    <w:p>
      <w:pPr>
        <w:pStyle w:val="Normal"/>
        <w:numPr>
          <w:ilvl w:val="2"/>
          <w:numId w:val="6"/>
        </w:numPr>
        <w:tabs>
          <w:tab w:val="clear" w:pos="708"/>
          <w:tab w:val="left" w:pos="345" w:leader="none"/>
        </w:tabs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ocenę stanu technicznego i przydatności do użytkowania poboczy utwardzonych                    i nieutwardzonych,</w:t>
      </w:r>
    </w:p>
    <w:p>
      <w:pPr>
        <w:pStyle w:val="Normal"/>
        <w:numPr>
          <w:ilvl w:val="2"/>
          <w:numId w:val="6"/>
        </w:numPr>
        <w:tabs>
          <w:tab w:val="clear" w:pos="708"/>
          <w:tab w:val="left" w:pos="345" w:leader="none"/>
        </w:tabs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ocenę stanu technicznego i przydatności do użytkowania chodników i ścieżek rowerowych, ciągów pieszo-rowerowych,</w:t>
      </w:r>
    </w:p>
    <w:p>
      <w:pPr>
        <w:pStyle w:val="Normal"/>
        <w:numPr>
          <w:ilvl w:val="2"/>
          <w:numId w:val="6"/>
        </w:numPr>
        <w:tabs>
          <w:tab w:val="clear" w:pos="708"/>
          <w:tab w:val="left" w:pos="345" w:leader="none"/>
        </w:tabs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ocenę stanu technicznego i przydatności do użytkowania urządzeń służących odwodnieniu ulic,</w:t>
      </w:r>
    </w:p>
    <w:p>
      <w:pPr>
        <w:pStyle w:val="Normal"/>
        <w:numPr>
          <w:ilvl w:val="2"/>
          <w:numId w:val="6"/>
        </w:numPr>
        <w:tabs>
          <w:tab w:val="clear" w:pos="708"/>
          <w:tab w:val="left" w:pos="345" w:leader="none"/>
        </w:tabs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zalecenia pokontrolne.</w:t>
      </w:r>
    </w:p>
    <w:p>
      <w:pPr>
        <w:pStyle w:val="Normal"/>
        <w:tabs>
          <w:tab w:val="clear" w:pos="708"/>
          <w:tab w:val="left" w:pos="345" w:leader="none"/>
        </w:tabs>
        <w:spacing w:lineRule="auto" w:line="24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7. W wyniku przeglądów o których mowa w ust. 1 Wykonawca zdiagnozuje:</w:t>
      </w:r>
      <w:r>
        <w:rPr>
          <w:rFonts w:eastAsia="Arial" w:cs="Arial" w:ascii="Times New Roman" w:hAnsi="Times New Roman"/>
          <w:sz w:val="24"/>
          <w:szCs w:val="24"/>
        </w:rPr>
        <w:t xml:space="preserve">   </w:t>
      </w:r>
    </w:p>
    <w:p>
      <w:pPr>
        <w:pStyle w:val="Normal"/>
        <w:numPr>
          <w:ilvl w:val="0"/>
          <w:numId w:val="6"/>
        </w:numPr>
        <w:spacing w:lineRule="auto" w:line="240"/>
        <w:ind w:left="737" w:firstLine="283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 xml:space="preserve">uszkodzenia obiektu, które mogą spowodować zagrożenie życia lub zdrowia ludzi, </w:t>
        <w:tab/>
        <w:t>bezpieczeństwa mienia bądź środowiska,</w:t>
      </w:r>
    </w:p>
    <w:p>
      <w:pPr>
        <w:pStyle w:val="Normal"/>
        <w:numPr>
          <w:ilvl w:val="0"/>
          <w:numId w:val="6"/>
        </w:numPr>
        <w:spacing w:lineRule="auto" w:line="240"/>
        <w:ind w:left="737" w:firstLine="283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uszkodzenia obiektu, które mogą spowodować katastrofę budowlaną,</w:t>
      </w:r>
    </w:p>
    <w:p>
      <w:pPr>
        <w:pStyle w:val="Normal"/>
        <w:numPr>
          <w:ilvl w:val="0"/>
          <w:numId w:val="6"/>
        </w:numPr>
        <w:spacing w:lineRule="auto" w:line="240"/>
        <w:ind w:left="737" w:firstLine="283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warunki bezpiecznego użytkowania obiektu,</w:t>
      </w:r>
    </w:p>
    <w:p>
      <w:pPr>
        <w:pStyle w:val="Normal"/>
        <w:numPr>
          <w:ilvl w:val="0"/>
          <w:numId w:val="6"/>
        </w:numPr>
        <w:spacing w:lineRule="auto" w:line="240"/>
        <w:ind w:left="737" w:firstLine="283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uszkodzenia obiektu, które powinny zostać usunięte w  ramach planu bieżącego utrzymania lub w trybie awaryjnym,</w:t>
      </w:r>
    </w:p>
    <w:p>
      <w:pPr>
        <w:pStyle w:val="Normal"/>
        <w:numPr>
          <w:ilvl w:val="0"/>
          <w:numId w:val="6"/>
        </w:numPr>
        <w:spacing w:lineRule="auto" w:line="240"/>
        <w:ind w:left="737" w:firstLine="283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uszkodzenia instalacji i urządzeń służących ochronie środowiska,</w:t>
      </w:r>
    </w:p>
    <w:p>
      <w:pPr>
        <w:pStyle w:val="Normal"/>
        <w:numPr>
          <w:ilvl w:val="0"/>
          <w:numId w:val="6"/>
        </w:numPr>
        <w:spacing w:lineRule="auto" w:line="240"/>
        <w:ind w:left="737" w:firstLine="283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uszkodzenia wyposażenia,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8. W ramach przedmiotu zamówienia Wykonawca:</w:t>
      </w:r>
    </w:p>
    <w:p>
      <w:pPr>
        <w:pStyle w:val="Normal"/>
        <w:numPr>
          <w:ilvl w:val="0"/>
          <w:numId w:val="6"/>
        </w:numPr>
        <w:spacing w:lineRule="auto" w:line="240"/>
        <w:ind w:left="737" w:firstLine="283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 xml:space="preserve">założy książki obiektów budowlanych dla przepustów w świetle równym lub większym niż </w:t>
        <w:tab/>
        <w:t>150 cm,</w:t>
      </w:r>
    </w:p>
    <w:p>
      <w:pPr>
        <w:pStyle w:val="Normal"/>
        <w:numPr>
          <w:ilvl w:val="0"/>
          <w:numId w:val="6"/>
        </w:numPr>
        <w:spacing w:lineRule="auto" w:line="240"/>
        <w:ind w:left="737" w:firstLine="283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wprowadzi dane z przeglądów okresowych do książek obiektów mostowych i przepustów o świetle równym lub większym niż 150 cm.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418" w:leader="none"/>
        </w:tabs>
        <w:spacing w:lineRule="auto" w:line="240"/>
        <w:ind w:left="964"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sporządzi wykaz 5 obiektów mostowych i przepustów o świetle równym lub większym niż 150 cm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 xml:space="preserve">9. Wykaz dróg powiatowych wraz z ich przebiegiem stanowi załącznik nr 2, zestawienie obiektów mostowych załącznik nr 3, zestawienie przepustów o rozpiętości w świetle równym lub większym niż 150 cm załącznik nr 4 oraz ewidencja pozostałych przepustów załącznik </w:t>
        <w:br/>
        <w:t>nr 5.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</w:rPr>
        <w:t>10. Na wykonaną dokumentację Wykonawca udzieli rocznej gwarancji, której bieg rozpoczyna się licząc od dnia podpisania protokołu odbioru usług</w:t>
      </w:r>
      <w:bookmarkStart w:id="0" w:name="_GoBack"/>
      <w:bookmarkEnd w:id="0"/>
      <w:r>
        <w:rPr>
          <w:rFonts w:eastAsia="Times New Roman" w:cs="Arial" w:ascii="Times New Roman" w:hAnsi="Times New Roman"/>
          <w:b/>
          <w:bCs/>
          <w:sz w:val="24"/>
          <w:szCs w:val="24"/>
        </w:rPr>
        <w:t>.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Okres rękojmi jest równy okresowi gwarancji.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Style w:val="Normaltextrun"/>
          <w:rFonts w:eastAsia="Arial" w:cs="Arial" w:ascii="Times New Roman" w:hAnsi="Times New Roman"/>
          <w:sz w:val="24"/>
          <w:szCs w:val="24"/>
          <w:lang w:eastAsia="pl-PL"/>
        </w:rPr>
        <w:t>11. Termin płatności za usługę do 30 dni.</w:t>
      </w:r>
    </w:p>
    <w:p>
      <w:pPr>
        <w:pStyle w:val="Normal"/>
        <w:spacing w:lineRule="auto" w:line="240" w:before="0" w:after="0"/>
        <w:ind w:left="397" w:hanging="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2. Zmawiający informuje, że cena oferty musi zawierać wszystkie koszty związane </w:t>
        <w:br/>
        <w:t>z wykonaniem zamówienia wynikające z zakresu prac, bez których realizacja zamówienia byłaby niemożliwa.</w:t>
      </w:r>
    </w:p>
    <w:p>
      <w:pPr>
        <w:pStyle w:val="Normal"/>
        <w:tabs>
          <w:tab w:val="clear" w:pos="708"/>
          <w:tab w:val="left" w:pos="1260" w:leader="none"/>
          <w:tab w:val="left" w:pos="1440" w:leader="none"/>
          <w:tab w:val="left" w:pos="1843" w:leader="none"/>
        </w:tabs>
        <w:spacing w:lineRule="auto" w:line="240" w:before="63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Warunki udziału w postępowaniu: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O udzielenie niniejszego zamówienia mogą się ubiegać wykonawcy, którzy spełniają warunki dotyczące:</w:t>
      </w:r>
    </w:p>
    <w:p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posiadania wiedzy i doświadczenia: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ind w:left="720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Zamawiający uzna w/w warunek udziału za spełniony, jeśli Oferent udokumentuje, że </w:t>
        <w:br/>
      </w:r>
      <w:r>
        <w:rPr>
          <w:rFonts w:eastAsia="Times New Roman" w:ascii="Times New Roman" w:hAnsi="Times New Roman"/>
          <w:color w:val="auto"/>
          <w:sz w:val="22"/>
          <w:szCs w:val="22"/>
        </w:rPr>
        <w:t>w ostatnich 3 lat (licząc od dnia ogłoszenia przedmiotowego zapytania ofertowego), a jeśli okres prowadzenia działalności jest krótszy w tym okresie, z</w:t>
      </w:r>
      <w:r>
        <w:rPr>
          <w:rFonts w:cs="Times New Roman" w:ascii="Times New Roman" w:hAnsi="Times New Roman"/>
          <w:color w:val="auto"/>
          <w:sz w:val="22"/>
          <w:szCs w:val="22"/>
        </w:rPr>
        <w:t>realizował przynajmniej jedną usługę polegającą na wykonaniu</w:t>
      </w:r>
      <w:r>
        <w:rPr>
          <w:rFonts w:cs="Times New Roman" w:ascii="Times New Roman" w:hAnsi="Times New Roman"/>
          <w:iCs/>
          <w:color w:val="auto"/>
          <w:sz w:val="22"/>
          <w:szCs w:val="22"/>
        </w:rPr>
        <w:t xml:space="preserve"> przeglądu okresowego obiektów mostowych i/lub przepustów i/lub dróg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 o wartości nie niższej niż 10 000,00 zł brutto.</w:t>
      </w:r>
    </w:p>
    <w:p>
      <w:pPr>
        <w:pStyle w:val="Default"/>
        <w:ind w:left="720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W przypadku składania oferty wspólnej ww. warunek musi spełniać co najmniej jeden z wykonawców w całości.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ind w:left="720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W celu potwierdzenia spełnienia ww. warunku udziału w postępowaniu Wykonawca składa wypełniony – </w:t>
      </w:r>
      <w:r>
        <w:rPr>
          <w:rFonts w:cs="Times New Roman" w:ascii="Times New Roman" w:hAnsi="Times New Roman"/>
          <w:b/>
          <w:color w:val="auto"/>
          <w:sz w:val="22"/>
          <w:szCs w:val="22"/>
        </w:rPr>
        <w:t xml:space="preserve"> załącznik 6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 do niniejszego zapytania wraz z załączeniem dowodów, że usługi te zostały wykonane należycie, przy czym dowodami, o których mowa są referencje, bądź inne dokumenty wystawione przez podmiot, na rzecz którego usługi były wykonywane, a jeżeli z uzasadnionych przyczyn o obiektywnym charakterze wykonawca nie jest w stawie uzyskać tych dokumentów – oświadczenie wykonawcy.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ind w:left="720" w:hanging="0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UWAGA: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Wykonawcy, którzy nie wykażą spełnienia warunków udziału w postępowaniu podlegać będą wykluczeniu z postępowania. Ofertę wykonawcy wykluczonego uznaje się za odrzuconą.</w:t>
      </w:r>
    </w:p>
    <w:p>
      <w:pPr>
        <w:pStyle w:val="Default"/>
        <w:ind w:left="284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3"/>
        </w:numPr>
        <w:ind w:left="340" w:hanging="340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Informacja na temat zakresu wykluczenia:</w:t>
      </w:r>
    </w:p>
    <w:p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Z postępowania o zamówienie zostaną wykluczeni wykonawcy, którzy nie spełniają warunków udziału w postępowaniu.</w:t>
      </w:r>
    </w:p>
    <w:p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W celu uniknięcia konfliktu interesów, zamówienie nie może być udzielone podmiotom powiązanym osobowo lub kapitałowo z zamawiającym.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Akapitzlist1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</w:rPr>
        <w:t xml:space="preserve">Przez powiązania kapitałowe lub osobowe rozumie się wzajemne powiązania miedzy Zamawiającym lub osobą upoważnioną do zaciągania zobowiązań w imieniu zamawiającego lub osobami wykonującymi w imieniu Zamawiającego czynności związane </w:t>
        <w:br/>
        <w:t xml:space="preserve">z przygotowaniem i przeprowadzeniem procedury wyboru wykonawcy polegające w szczególności na: </w:t>
      </w:r>
    </w:p>
    <w:p>
      <w:pPr>
        <w:pStyle w:val="Akapitzlist1"/>
        <w:spacing w:lineRule="auto" w:line="240" w:before="0" w:after="0"/>
        <w:ind w:left="720" w:hanging="360"/>
        <w:contextualSpacing/>
        <w:jc w:val="both"/>
        <w:rPr/>
      </w:pPr>
      <w:r>
        <w:rPr>
          <w:rFonts w:ascii="Times New Roman" w:hAnsi="Times New Roman"/>
          <w:lang w:eastAsia="pl-PL"/>
        </w:rPr>
        <w:t>a.a  uczestniczeniu w spółce jako wspólnik spółki cywilnej lub spółki osobowej,</w:t>
      </w:r>
    </w:p>
    <w:p>
      <w:pPr>
        <w:pStyle w:val="Akapitzlist1"/>
        <w:spacing w:lineRule="auto" w:line="240" w:before="0" w:after="0"/>
        <w:ind w:left="720" w:hanging="360"/>
        <w:contextualSpacing/>
        <w:jc w:val="both"/>
        <w:rPr/>
      </w:pPr>
      <w:r>
        <w:rPr>
          <w:rFonts w:ascii="Times New Roman" w:hAnsi="Times New Roman"/>
          <w:lang w:eastAsia="pl-PL"/>
        </w:rPr>
        <w:t>a.b posiadaniu co najmniej 10% udziałów lub akcji, o ile niższy próg nie wynika z przepisów prawa,</w:t>
      </w:r>
    </w:p>
    <w:p>
      <w:pPr>
        <w:pStyle w:val="Akapitzlist1"/>
        <w:spacing w:lineRule="auto" w:line="240" w:before="0" w:after="0"/>
        <w:ind w:left="720" w:hanging="360"/>
        <w:contextualSpacing/>
        <w:jc w:val="both"/>
        <w:rPr/>
      </w:pPr>
      <w:r>
        <w:rPr>
          <w:rFonts w:ascii="Times New Roman" w:hAnsi="Times New Roman"/>
          <w:lang w:eastAsia="pl-PL"/>
        </w:rPr>
        <w:t>a.c  pełnieniu funkcji członka organu nadzorczego lub zarządzającego, prokurenta, pełnomocnika,</w:t>
      </w:r>
    </w:p>
    <w:p>
      <w:pPr>
        <w:pStyle w:val="Akapitzlist1"/>
        <w:spacing w:lineRule="auto" w:line="240" w:before="0" w:after="0"/>
        <w:ind w:left="720" w:hanging="360"/>
        <w:contextualSpacing/>
        <w:jc w:val="both"/>
        <w:rPr/>
      </w:pPr>
      <w:r>
        <w:rPr>
          <w:rFonts w:ascii="Times New Roman" w:hAnsi="Times New Roman"/>
          <w:lang w:eastAsia="pl-PL"/>
        </w:rPr>
        <w:t>a.d  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Akapitzlist1"/>
        <w:spacing w:lineRule="auto" w:line="240" w:before="0" w:after="0"/>
        <w:ind w:left="2160" w:hanging="0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</w:r>
    </w:p>
    <w:p>
      <w:pPr>
        <w:pStyle w:val="Default"/>
        <w:ind w:left="1440" w:hanging="0"/>
        <w:jc w:val="both"/>
        <w:rPr>
          <w:color w:val="auto"/>
        </w:rPr>
      </w:pPr>
      <w:r>
        <w:rPr>
          <w:rFonts w:cs="Times New Roman" w:ascii="Times New Roman" w:hAnsi="Times New Roman"/>
          <w:bCs/>
          <w:i/>
          <w:iCs/>
          <w:color w:val="auto"/>
          <w:sz w:val="22"/>
          <w:szCs w:val="22"/>
        </w:rPr>
        <w:t>Ocena spełnienia warunku zostanie dokonana na podstawie Załącznika nr 1 do Zaproszenia – Formularza oferty, metodą graniczną spełnia – nie spełnia.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5"/>
        </w:numPr>
        <w:ind w:left="737" w:hanging="39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Oferty złożone po terminie składania zostaną odrzucone z postępowania bez ich otwarcia. </w:t>
      </w:r>
    </w:p>
    <w:p>
      <w:pPr>
        <w:pStyle w:val="Default"/>
        <w:ind w:left="106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Kryteria oceny ofert</w:t>
      </w:r>
      <w:r>
        <w:rPr>
          <w:rFonts w:cs="Times New Roman" w:ascii="Times New Roman" w:hAnsi="Times New Roman"/>
          <w:color w:val="auto"/>
          <w:sz w:val="22"/>
          <w:szCs w:val="22"/>
        </w:rPr>
        <w:t>:</w:t>
      </w:r>
    </w:p>
    <w:p>
      <w:pPr>
        <w:pStyle w:val="NormalWeb"/>
        <w:spacing w:before="280" w:after="0"/>
        <w:ind w:left="284" w:hanging="0"/>
        <w:jc w:val="both"/>
        <w:rPr/>
      </w:pPr>
      <w:r>
        <w:rPr>
          <w:sz w:val="22"/>
          <w:szCs w:val="22"/>
        </w:rPr>
        <w:t xml:space="preserve">Podstawowym kryterium wyboru oferty jest: </w:t>
      </w:r>
      <w:r>
        <w:rPr>
          <w:rStyle w:val="Strong"/>
          <w:sz w:val="22"/>
          <w:szCs w:val="22"/>
          <w:u w:val="single"/>
        </w:rPr>
        <w:t>cena (100 %)</w:t>
      </w:r>
    </w:p>
    <w:p>
      <w:pPr>
        <w:pStyle w:val="NormalWeb"/>
        <w:spacing w:before="280" w:after="0"/>
        <w:ind w:left="284" w:hanging="0"/>
        <w:jc w:val="both"/>
        <w:rPr/>
      </w:pPr>
      <w:r>
        <w:rPr>
          <w:sz w:val="22"/>
          <w:szCs w:val="22"/>
        </w:rPr>
        <w:t>Ceną braną pod uwagę będzie cena brutto oferty – cena za realizację całości zamówienia.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Normal"/>
        <w:ind w:left="426" w:hanging="0"/>
        <w:jc w:val="both"/>
        <w:rPr/>
      </w:pPr>
      <w:r>
        <w:rPr>
          <w:rFonts w:cs="Times New Roman" w:ascii="Times New Roman" w:hAnsi="Times New Roman"/>
          <w:b/>
        </w:rPr>
        <w:t>a)  Cena brutto - C</w:t>
      </w:r>
    </w:p>
    <w:p>
      <w:pPr>
        <w:pStyle w:val="Normal"/>
        <w:spacing w:lineRule="auto" w:line="360"/>
        <w:ind w:left="709" w:hanging="0"/>
        <w:jc w:val="both"/>
        <w:rPr/>
      </w:pPr>
      <w:r>
        <w:rPr>
          <w:rFonts w:cs="Times New Roman" w:ascii="Times New Roman" w:hAnsi="Times New Roman"/>
        </w:rPr>
        <w:t>Punkty w kryterium zostaną przyznane zgodnie ze wzorem:</w:t>
      </w:r>
    </w:p>
    <w:p>
      <w:pPr>
        <w:pStyle w:val="Normal"/>
        <w:tabs>
          <w:tab w:val="clear" w:pos="708"/>
          <w:tab w:val="left" w:pos="426" w:leader="none"/>
        </w:tabs>
        <w:ind w:left="709" w:hanging="0"/>
        <w:jc w:val="both"/>
        <w:rPr/>
      </w:pPr>
      <w:r>
        <w:rPr>
          <w:rFonts w:eastAsia="Arial" w:cs="Times New Roman" w:ascii="Times New Roman" w:hAnsi="Times New Roman"/>
        </w:rPr>
        <w:t xml:space="preserve">                             </w:t>
      </w:r>
      <w:r>
        <w:rPr>
          <w:rFonts w:eastAsia="Times New Roman" w:cs="Times New Roman" w:ascii="Times New Roman" w:hAnsi="Times New Roman"/>
          <w:lang w:eastAsia="pl-PL"/>
        </w:rPr>
        <w:t>Najniższa oferowana cena spośród złożonych ofert</w:t>
      </w:r>
    </w:p>
    <w:p>
      <w:pPr>
        <w:pStyle w:val="Normal"/>
        <w:jc w:val="both"/>
        <w:rPr/>
      </w:pPr>
      <w:r>
        <w:rPr>
          <w:rFonts w:eastAsia="Arial" w:cs="Times New Roman" w:ascii="Times New Roman" w:hAnsi="Times New Roman"/>
          <w:b/>
          <w:lang w:eastAsia="pl-PL"/>
        </w:rPr>
        <w:t xml:space="preserve">                                 </w:t>
      </w:r>
      <w:r>
        <w:rPr>
          <w:rFonts w:eastAsia="Times New Roman" w:cs="Times New Roman" w:ascii="Times New Roman" w:hAnsi="Times New Roman"/>
          <w:b/>
          <w:lang w:eastAsia="pl-PL"/>
        </w:rPr>
        <w:t>C</w:t>
      </w:r>
      <w:r>
        <w:rPr>
          <w:rFonts w:eastAsia="Times New Roman" w:cs="Times New Roman" w:ascii="Times New Roman" w:hAnsi="Times New Roman"/>
          <w:lang w:eastAsia="pl-PL"/>
        </w:rPr>
        <w:t xml:space="preserve"> = </w:t>
      </w:r>
      <w:r>
        <w:rPr>
          <w:rFonts w:eastAsia="Times New Roman" w:cs="Times New Roman" w:ascii="Times New Roman" w:hAnsi="Times New Roman"/>
          <w:strike/>
          <w:lang w:eastAsia="pl-PL"/>
        </w:rPr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lang w:eastAsia="pl-PL"/>
        </w:rPr>
        <w:t xml:space="preserve"> x  100 pkt.                                                                                         </w:t>
      </w:r>
    </w:p>
    <w:p>
      <w:pPr>
        <w:pStyle w:val="Normal"/>
        <w:ind w:left="709" w:hanging="0"/>
        <w:jc w:val="both"/>
        <w:rPr/>
      </w:pPr>
      <w:r>
        <w:rPr>
          <w:rFonts w:eastAsia="Arial" w:cs="Times New Roman" w:ascii="Times New Roman" w:hAnsi="Times New Roman"/>
        </w:rPr>
        <w:t xml:space="preserve">                                                   </w:t>
      </w:r>
      <w:r>
        <w:rPr>
          <w:rFonts w:cs="Times New Roman" w:ascii="Times New Roman" w:hAnsi="Times New Roman"/>
        </w:rPr>
        <w:t>Cena badanej oferty</w:t>
      </w:r>
    </w:p>
    <w:p>
      <w:pPr>
        <w:pStyle w:val="Normal"/>
        <w:spacing w:before="69" w:after="200"/>
        <w:ind w:left="709" w:hanging="0"/>
        <w:jc w:val="both"/>
        <w:rPr/>
      </w:pPr>
      <w:r>
        <w:rPr>
          <w:rFonts w:eastAsia="Times New Roman" w:cs="Times New Roman" w:ascii="Times New Roman" w:hAnsi="Times New Roman"/>
        </w:rPr>
        <w:t>Przyznane punkty zostaną zaokrąglone do dwóch miejsc po przecinku.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Za najkorzystniejszą ofertę zostanie uznana oferta, która otrzyma najwyższą ilość punktów przyznanych w ramach kryterium wyboru oferty – cena. </w:t>
      </w:r>
    </w:p>
    <w:p>
      <w:pPr>
        <w:pStyle w:val="Normal"/>
        <w:tabs>
          <w:tab w:val="clear" w:pos="708"/>
          <w:tab w:val="left" w:pos="-142" w:leader="none"/>
        </w:tabs>
        <w:spacing w:before="0" w:after="40"/>
        <w:jc w:val="both"/>
        <w:rPr/>
      </w:pPr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</w:rPr>
        <w:t>W sytuacji, gdy zamawiający nie będzie mógł dokonać wyboru oferty najkorzystniejszej z uwagi na to, że dwie lub więcej ofert zawierają taką samą najniższą cenę, zamawiający wzywa wykonawców, którzy złożyli te oferty do złożenia w wyznaczonym terminie ofert dodatkowych. Cena oferty dodatkowej nie może być wyższa od ceny oferty podstawowej.</w:t>
      </w:r>
    </w:p>
    <w:p>
      <w:pPr>
        <w:pStyle w:val="Normal"/>
        <w:tabs>
          <w:tab w:val="clear" w:pos="708"/>
          <w:tab w:val="left" w:pos="-142" w:leader="none"/>
        </w:tabs>
        <w:spacing w:before="0" w:after="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Miejsce i termin składania ofert: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0"/>
        <w:ind w:hanging="340"/>
        <w:jc w:val="both"/>
        <w:rPr/>
      </w:pPr>
      <w:r>
        <w:rPr>
          <w:rFonts w:cs="Times New Roman" w:ascii="Times New Roman" w:hAnsi="Times New Roman"/>
          <w:i/>
        </w:rPr>
        <w:t xml:space="preserve">    </w:t>
      </w:r>
      <w:r>
        <w:rPr>
          <w:rFonts w:cs="Times New Roman" w:ascii="Times New Roman" w:hAnsi="Times New Roman"/>
        </w:rPr>
        <w:t xml:space="preserve">Ofertę należy złożyć w formie pisemnej w sekretariacie Starostwa Powiatowego w Pyrzycach ul. Lipiańska 4, 74-200 Pyrzyce lub przesłać skan podpisanej oferty e-mailem na adres </w:t>
      </w:r>
      <w:hyperlink r:id="rId3">
        <w:r>
          <w:rPr>
            <w:rStyle w:val="Czeinternetowe"/>
            <w:rFonts w:cs="Times New Roman" w:ascii="Times New Roman" w:hAnsi="Times New Roman"/>
            <w:color w:val="auto"/>
          </w:rPr>
          <w:t>starostwo@pyrzyce.pl</w:t>
        </w:r>
      </w:hyperlink>
      <w:r>
        <w:rPr>
          <w:rFonts w:cs="Times New Roman" w:ascii="Times New Roman" w:hAnsi="Times New Roman"/>
        </w:rPr>
        <w:t xml:space="preserve"> do dnia </w:t>
      </w:r>
      <w:r>
        <w:rPr>
          <w:rFonts w:cs="Times New Roman" w:ascii="Times New Roman" w:hAnsi="Times New Roman"/>
          <w:b/>
          <w:bCs/>
          <w:sz w:val="22"/>
        </w:rPr>
        <w:t>15 listopada 2021 r.</w:t>
      </w:r>
    </w:p>
    <w:p>
      <w:pPr>
        <w:pStyle w:val="Default"/>
        <w:ind w:left="426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ind w:left="426" w:hanging="0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Termin składania ofert do: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15 listopada 2021 r.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3"/>
        </w:numPr>
        <w:ind w:left="284" w:hanging="295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Informacja o sposobie porozumiewania się zamawiającego z wykonawcą: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Wszelkie zapytania należy kierować w formie pisemnej na adres: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Powiat Pyrzycki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ul. Lipiańska 4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74 – 200 Pyrzyce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Tel. 918811300; fax. 91 50 65 500; 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lub w formie elektronicznej na adres:</w:t>
      </w:r>
    </w:p>
    <w:p>
      <w:pPr>
        <w:pStyle w:val="Default"/>
        <w:ind w:left="284" w:hanging="0"/>
        <w:jc w:val="both"/>
        <w:rPr/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email: </w:t>
      </w:r>
      <w:hyperlink r:id="rId4">
        <w:r>
          <w:rPr>
            <w:rStyle w:val="Czeinternetowe"/>
            <w:rFonts w:cs="Times New Roman" w:ascii="Times New Roman" w:hAnsi="Times New Roman"/>
            <w:color w:val="auto"/>
            <w:sz w:val="22"/>
            <w:szCs w:val="22"/>
          </w:rPr>
          <w:t>starostwo@pyrzyce.pl</w:t>
        </w:r>
      </w:hyperlink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Osoby uprawnione do kontaktu z wykonawcami: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Łukasz Stefańczyk- Wydział Dróg</w:t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tel. 91 88 11 366, e-mail: l.stefanczyk@pyrzyce.pl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Termin wykonania zamówienia:</w:t>
      </w:r>
    </w:p>
    <w:p>
      <w:pPr>
        <w:pStyle w:val="Default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Wymagany termin wykonania zamówienia: 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ab/>
        <w:tab/>
        <w:t>31.12.2021 r.</w:t>
        <w:tab/>
        <w:tab/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shd w:fill="FFFF00" w:val="clear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00" w:val="clear"/>
        </w:rPr>
      </w:r>
    </w:p>
    <w:p>
      <w:pPr>
        <w:pStyle w:val="Default"/>
        <w:numPr>
          <w:ilvl w:val="0"/>
          <w:numId w:val="3"/>
        </w:numPr>
        <w:ind w:left="360" w:hanging="360"/>
        <w:jc w:val="both"/>
        <w:rPr>
          <w:color w:val="auto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Powtórzenie czynności lub unieważnienie postępowania:</w:t>
      </w:r>
    </w:p>
    <w:p>
      <w:pPr>
        <w:pStyle w:val="Akapitzlist1"/>
        <w:numPr>
          <w:ilvl w:val="0"/>
          <w:numId w:val="2"/>
        </w:numPr>
        <w:spacing w:lineRule="auto" w:line="240" w:before="0" w:after="0"/>
        <w:ind w:left="360" w:hanging="360"/>
        <w:contextualSpacing/>
        <w:jc w:val="both"/>
        <w:rPr/>
      </w:pPr>
      <w:r>
        <w:rPr>
          <w:rFonts w:ascii="Times New Roman" w:hAnsi="Times New Roman"/>
          <w:bCs/>
          <w:iCs/>
        </w:rPr>
        <w:t>Zamawiający oświadcza, że niniejsze zapytanie ofertowe ma charakter rozeznania rynku pod kątem wyboru najkorzystniejszej oferty. Złożenie oferty nie stwarza po stronie oferenta roszczenia względem Powiatu Pyrzyckiego o zawarcie umowy.</w:t>
      </w:r>
    </w:p>
    <w:p>
      <w:pPr>
        <w:pStyle w:val="Akapitzlist1"/>
        <w:numPr>
          <w:ilvl w:val="0"/>
          <w:numId w:val="2"/>
        </w:numPr>
        <w:spacing w:lineRule="auto" w:line="240" w:before="0" w:after="0"/>
        <w:ind w:left="360" w:hanging="360"/>
        <w:contextualSpacing/>
        <w:jc w:val="both"/>
        <w:rPr/>
      </w:pPr>
      <w:r>
        <w:rPr>
          <w:rFonts w:ascii="Times New Roman" w:hAnsi="Times New Roman"/>
          <w:bCs/>
          <w:iCs/>
        </w:rPr>
        <w:t>Zamawiający zastrzega sobie prawo do unieważnienia przedmiotowego postępowania na każdym jego etapie bez podania przyczyn.</w:t>
      </w:r>
    </w:p>
    <w:p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Cs/>
          <w:color w:val="auto"/>
          <w:sz w:val="22"/>
          <w:szCs w:val="22"/>
        </w:rPr>
      </w:r>
    </w:p>
    <w:p>
      <w:pPr>
        <w:pStyle w:val="Default"/>
        <w:numPr>
          <w:ilvl w:val="0"/>
          <w:numId w:val="3"/>
        </w:numPr>
        <w:ind w:left="36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Załączniki:</w:t>
      </w:r>
    </w:p>
    <w:p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Załącznik nr 1 - Formularz oferty</w:t>
      </w:r>
    </w:p>
    <w:p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Załącznik nr 2 - </w:t>
      </w:r>
      <w:r>
        <w:rPr>
          <w:rFonts w:eastAsia="Times New Roman" w:cs="Times New Roman" w:ascii="Times New Roman" w:hAnsi="Times New Roman"/>
          <w:sz w:val="22"/>
          <w:szCs w:val="22"/>
        </w:rPr>
        <w:t>Wykaz dróg powiatowych wraz z ich przebiegiem</w:t>
      </w:r>
    </w:p>
    <w:p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Załącznik nr 3 - Zestawienie obiektów mostowych</w:t>
      </w:r>
    </w:p>
    <w:p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Załącznik nr 4 - Zestawienie przepustów o rozpiętości w świetle równym lub większym niż 150 cm</w:t>
      </w:r>
    </w:p>
    <w:p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Załącznik nr </w:t>
      </w:r>
      <w:r>
        <w:rPr>
          <w:rFonts w:eastAsia="Times New Roman" w:cs="Times New Roman" w:ascii="Times New Roman" w:hAnsi="Times New Roman"/>
          <w:sz w:val="22"/>
          <w:szCs w:val="22"/>
        </w:rPr>
        <w:t>5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– Wykaz usług</w:t>
      </w:r>
    </w:p>
    <w:p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Załącznik nr </w:t>
      </w:r>
      <w:r>
        <w:rPr>
          <w:rFonts w:eastAsia="Times New Roman" w:cs="Times New Roman" w:ascii="Times New Roman" w:hAnsi="Times New Roman"/>
          <w:sz w:val="22"/>
          <w:szCs w:val="22"/>
        </w:rPr>
        <w:t>6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– Wzór umowy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/>
      </w:r>
    </w:p>
    <w:sectPr>
      <w:headerReference w:type="default" r:id="rId5"/>
      <w:type w:val="nextPage"/>
      <w:pgSz w:w="11906" w:h="16838"/>
      <w:pgMar w:left="1417" w:right="1417" w:header="708" w:top="76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2"/>
        <w:b/>
        <w:rFonts w:ascii="Times New Roman" w:hAnsi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color w:val="auto"/>
      </w:rPr>
    </w:lvl>
  </w:abstractNum>
  <w:abstractNum w:abstractNumId="5"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color w:val="auto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TekstpodstawowyZnak" w:customStyle="1">
    <w:name w:val="Tekst podstawowy Znak"/>
    <w:basedOn w:val="DefaultParagraphFont"/>
    <w:qFormat/>
    <w:rPr>
      <w:rFonts w:ascii="Thorndale" w:hAnsi="Thorndale" w:eastAsia="Andale Sans UI" w:cs="Thorndale"/>
      <w:sz w:val="24"/>
      <w:szCs w:val="20"/>
      <w:lang w:eastAsia="zh-CN"/>
    </w:rPr>
  </w:style>
  <w:style w:type="character" w:styleId="WW8Num50z0" w:customStyle="1">
    <w:name w:val="WW8Num50z0"/>
    <w:qFormat/>
    <w:rPr>
      <w:rFonts w:ascii="Symbol" w:hAnsi="Symbol"/>
      <w:color w:val="auto"/>
    </w:rPr>
  </w:style>
  <w:style w:type="character" w:styleId="ListParagraphChar" w:customStyle="1">
    <w:name w:val="List Paragraph Char"/>
    <w:qFormat/>
    <w:rPr>
      <w:rFonts w:ascii="Calibri" w:hAnsi="Calibri" w:eastAsia="Times New Roman" w:cs="Times New Roman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>
      <w:color w:val="auto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Cs w:val="20"/>
    </w:rPr>
  </w:style>
  <w:style w:type="character" w:styleId="Normaltextrun" w:customStyle="1">
    <w:name w:val="normaltextrun"/>
    <w:basedOn w:val="DefaultParagraphFont"/>
    <w:qFormat/>
    <w:rPr/>
  </w:style>
  <w:style w:type="character" w:styleId="WW8Num1z0" w:customStyle="1">
    <w:name w:val="WW8Num1z0"/>
    <w:qFormat/>
    <w:rPr>
      <w:rFonts w:ascii="Symbol" w:hAnsi="Symbol" w:eastAsia="Times New Roman" w:cs="OpenSymbol;Arial Unicode MS"/>
      <w:sz w:val="20"/>
      <w:szCs w:val="20"/>
    </w:rPr>
  </w:style>
  <w:style w:type="character" w:styleId="WW8Num1z4" w:customStyle="1">
    <w:name w:val="WW8Num1z4"/>
    <w:qFormat/>
    <w:rPr>
      <w:rFonts w:ascii="OpenSymbol;Arial Unicode MS" w:hAnsi="OpenSymbol;Arial Unicode MS" w:cs="OpenSymbol;Arial Unicode MS"/>
    </w:rPr>
  </w:style>
  <w:style w:type="character" w:styleId="WW8Num2z0" w:customStyle="1">
    <w:name w:val="WW8Num2z0"/>
    <w:qFormat/>
    <w:rPr>
      <w:rFonts w:ascii="Symbol" w:hAnsi="Symbol" w:cs="OpenSymbol;Arial Unicode MS"/>
    </w:rPr>
  </w:style>
  <w:style w:type="character" w:styleId="WW8Num3z0" w:customStyle="1">
    <w:name w:val="WW8Num3z0"/>
    <w:qFormat/>
    <w:rPr>
      <w:rFonts w:ascii="Symbol" w:hAnsi="Symbol" w:cs="OpenSymbol;Arial Unicode MS"/>
    </w:rPr>
  </w:style>
  <w:style w:type="character" w:styleId="WW8Num3z1" w:customStyle="1">
    <w:name w:val="WW8Num3z1"/>
    <w:qFormat/>
    <w:rPr>
      <w:rFonts w:ascii="OpenSymbol;Arial Unicode MS" w:hAnsi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widowControl w:val="false"/>
      <w:spacing w:lineRule="auto" w:line="240" w:before="0" w:after="120"/>
    </w:pPr>
    <w:rPr>
      <w:rFonts w:ascii="Thorndale" w:hAnsi="Thorndale" w:eastAsia="Andale Sans UI" w:cs="Thorndale"/>
      <w:sz w:val="24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Akapitzlist1" w:customStyle="1">
    <w:name w:val="Akapit z listą1"/>
    <w:basedOn w:val="Normal"/>
    <w:qFormat/>
    <w:pPr>
      <w:ind w:left="720" w:hanging="0"/>
    </w:pPr>
    <w:rPr>
      <w:rFonts w:eastAsia="Times New Roman" w:cs="Times New Roman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BodyText2">
    <w:name w:val="Body Text 2"/>
    <w:basedOn w:val="Normal"/>
    <w:qFormat/>
    <w:pPr/>
    <w:rPr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stwo@pyrzyce.pl" TargetMode="External"/><Relationship Id="rId3" Type="http://schemas.openxmlformats.org/officeDocument/2006/relationships/hyperlink" Target="mailto:starostwo@pyrzyce.pl" TargetMode="External"/><Relationship Id="rId4" Type="http://schemas.openxmlformats.org/officeDocument/2006/relationships/hyperlink" Target="mailto:starostwo@pyrzyce.pl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LibreOffice/7.1.4.2$Windows_X86_64 LibreOffice_project/a529a4fab45b75fefc5b6226684193eb000654f6</Application>
  <AppVersion>15.0000</AppVersion>
  <Pages>5</Pages>
  <Words>1480</Words>
  <Characters>9168</Characters>
  <CharactersWithSpaces>10766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2021-10-28T03:53:00Z</dcterms:created>
  <dc:creator>pkowalski</dc:creator>
  <dc:description/>
  <dc:language>pl-PL</dc:language>
  <cp:lastModifiedBy/>
  <cp:lastPrinted>2021-10-28T10:42:59Z</cp:lastPrinted>
  <dcterms:modified xsi:type="dcterms:W3CDTF">2021-10-28T10:43:07Z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