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B618B1" w:rsidRDefault="00B618B1">
      <w:pPr>
        <w:rPr>
          <w:rFonts w:ascii="Times New Roman" w:hAnsi="Times New Roman"/>
          <w:sz w:val="24"/>
          <w:szCs w:val="24"/>
        </w:rPr>
      </w:pPr>
      <w:r w:rsidRPr="00B618B1">
        <w:rPr>
          <w:rFonts w:ascii="Times New Roman" w:hAnsi="Times New Roman"/>
          <w:sz w:val="24"/>
          <w:szCs w:val="24"/>
        </w:rPr>
        <w:t xml:space="preserve">PROTOKÓŁ Nr 2/2012 </w:t>
      </w:r>
      <w:r w:rsidRPr="00B618B1">
        <w:rPr>
          <w:rFonts w:ascii="Times New Roman" w:hAnsi="Times New Roman"/>
          <w:sz w:val="24"/>
          <w:szCs w:val="24"/>
        </w:rPr>
        <w:br/>
        <w:t xml:space="preserve">z dnia 16 stycznia 2012 r. </w:t>
      </w:r>
      <w:r w:rsidRPr="00B618B1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B618B1">
        <w:rPr>
          <w:rFonts w:ascii="Times New Roman" w:hAnsi="Times New Roman"/>
          <w:sz w:val="24"/>
          <w:szCs w:val="24"/>
        </w:rPr>
        <w:br/>
      </w:r>
      <w:r w:rsidRPr="00B618B1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B618B1">
        <w:rPr>
          <w:rFonts w:ascii="Times New Roman" w:hAnsi="Times New Roman"/>
          <w:sz w:val="24"/>
          <w:szCs w:val="24"/>
        </w:rPr>
        <w:br/>
      </w:r>
      <w:r w:rsidRPr="00B618B1">
        <w:rPr>
          <w:rFonts w:ascii="Times New Roman" w:hAnsi="Times New Roman"/>
          <w:sz w:val="24"/>
          <w:szCs w:val="24"/>
        </w:rPr>
        <w:br/>
        <w:t xml:space="preserve">Ad. 1. </w:t>
      </w:r>
      <w:r w:rsidRPr="00B618B1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B618B1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B618B1">
        <w:rPr>
          <w:rFonts w:ascii="Times New Roman" w:hAnsi="Times New Roman"/>
          <w:sz w:val="24"/>
          <w:szCs w:val="24"/>
        </w:rPr>
        <w:br/>
      </w:r>
      <w:r w:rsidRPr="00B618B1">
        <w:rPr>
          <w:rFonts w:ascii="Times New Roman" w:hAnsi="Times New Roman"/>
          <w:sz w:val="24"/>
          <w:szCs w:val="24"/>
        </w:rPr>
        <w:br/>
        <w:t xml:space="preserve">Ad. 2. </w:t>
      </w:r>
      <w:r w:rsidRPr="00B618B1">
        <w:rPr>
          <w:rFonts w:ascii="Times New Roman" w:hAnsi="Times New Roman"/>
          <w:sz w:val="24"/>
          <w:szCs w:val="24"/>
        </w:rPr>
        <w:br/>
        <w:t xml:space="preserve">Starosta poprosił Andrzeja </w:t>
      </w:r>
      <w:proofErr w:type="spellStart"/>
      <w:r w:rsidRPr="00B618B1">
        <w:rPr>
          <w:rFonts w:ascii="Times New Roman" w:hAnsi="Times New Roman"/>
          <w:sz w:val="24"/>
          <w:szCs w:val="24"/>
        </w:rPr>
        <w:t>Wabińskiego</w:t>
      </w:r>
      <w:proofErr w:type="spellEnd"/>
      <w:r w:rsidRPr="00B618B1">
        <w:rPr>
          <w:rFonts w:ascii="Times New Roman" w:hAnsi="Times New Roman"/>
          <w:sz w:val="24"/>
          <w:szCs w:val="24"/>
        </w:rPr>
        <w:t xml:space="preserve"> Skarbnika Powiatu, aby przedstawił uchwałę Zarządu Powiatu Pyrzyckiego w sprawie ustalenia planu finansowego Powiatu Pyrzyckiego na 2012 rok. Skarbnik wyjaśnił, że uchwała została przygotowana na podstawie uchwały Nr XIII/70/11 Rady Powiatu Pyrzyckiego z dnia 28 grudnia 2011 r. w sprawie uchwalenia budżetu Powiatu Pyrzyckiego na rok 2012. Zarząd ustala plan finansowy w szczegółowości do działów, rozdziałów i paragrafów. Zarząd podjął uchwałę w wyniku głosowania: 3 głosy za. </w:t>
      </w:r>
      <w:r w:rsidRPr="00B618B1">
        <w:rPr>
          <w:rFonts w:ascii="Times New Roman" w:hAnsi="Times New Roman"/>
          <w:sz w:val="24"/>
          <w:szCs w:val="24"/>
        </w:rPr>
        <w:br/>
        <w:t xml:space="preserve">Następnie Skarbnik przedstawił uchwałę Zarządu Powiatu Pyrzyckiego </w:t>
      </w:r>
      <w:r w:rsidRPr="00B618B1">
        <w:rPr>
          <w:rFonts w:ascii="Times New Roman" w:hAnsi="Times New Roman"/>
          <w:sz w:val="24"/>
          <w:szCs w:val="24"/>
        </w:rPr>
        <w:br/>
        <w:t xml:space="preserve">w sprawie przekazania kierownikom jednostek budżetowych niektórych uprawnień do dokonywania przeniesień w planie wydatków. Upoważnienie dotyczy przeniesień pomiędzy paragrafami w ramach tego samego rozdziału z wyłączeniem wynagrodzeń osobowych pracowników, które może nastąpić po uzyskaniu pozytywnej opinii Zarządu. Uchwała reguluje również formę i terminy składania wniosków do Zarządu. Zarząd podjął uchwałę w wyniku głosowania: 3 głosy za. </w:t>
      </w:r>
      <w:r w:rsidRPr="00B618B1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zmiany Wieloletniej Prognozy Finansowej Powiatu Pyrzyckiego na lata 2012-2024. Skarbnik wyjaśnił, że zmiana wieloletniej prognozy finansowej jest spowodowana zmianą budżetu powiatu. Zmianie ulega załącznik nr 1 w części dotyczącej planu dochodów i wydatków oraz wyniku budżetu na rok 2012, jak również załącznik nr 3 poprzez dodanie wydatków i limitów zobowiązań związanych z dwoma projektami realizowanymi z udziałem środków unijnych. Zarząd przyjął projekt uchwały w wyniku głosowania: 3 głosy za. </w:t>
      </w:r>
      <w:r w:rsidRPr="00B618B1">
        <w:rPr>
          <w:rFonts w:ascii="Times New Roman" w:hAnsi="Times New Roman"/>
          <w:sz w:val="24"/>
          <w:szCs w:val="24"/>
        </w:rPr>
        <w:br/>
        <w:t xml:space="preserve">Następnie Jarosław Stankiewicz przedstawił projekt uchwały Rady Powiatu Pyrzyckiego w sprawie ustalenia wysokości opłat za usunięcie i przechowywanie pojazdu usuniętego z drogi oraz wysokości kosztów powstałych w razie odstąpienia od usunięcia pojazdu obowiązujących w 2012 r. Ustalenie wysokości opłat jest wymogiem ustawowym i musi być dokonane na każdy rok. Zarząd przyjął projekt uchwały w wyniku głosowania: 3 głosy za. </w:t>
      </w:r>
      <w:r w:rsidRPr="00B618B1">
        <w:rPr>
          <w:rFonts w:ascii="Times New Roman" w:hAnsi="Times New Roman"/>
          <w:sz w:val="24"/>
          <w:szCs w:val="24"/>
        </w:rPr>
        <w:br/>
        <w:t xml:space="preserve">Zarząd zdecydował, aby obydwa projekty uchwał zostały włączone do porządku sesji nadzwyczajnej Rady Powiatu Pyrzyckiego. </w:t>
      </w:r>
      <w:r w:rsidRPr="00B618B1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B618B1">
        <w:rPr>
          <w:rFonts w:ascii="Times New Roman" w:hAnsi="Times New Roman"/>
          <w:sz w:val="24"/>
          <w:szCs w:val="24"/>
        </w:rPr>
        <w:br/>
      </w:r>
      <w:r w:rsidRPr="00B618B1">
        <w:rPr>
          <w:rFonts w:ascii="Times New Roman" w:hAnsi="Times New Roman"/>
          <w:sz w:val="24"/>
          <w:szCs w:val="24"/>
        </w:rPr>
        <w:br/>
        <w:t xml:space="preserve">Sporządził: </w:t>
      </w:r>
      <w:r w:rsidRPr="00B618B1">
        <w:rPr>
          <w:rFonts w:ascii="Times New Roman" w:hAnsi="Times New Roman"/>
          <w:sz w:val="24"/>
          <w:szCs w:val="24"/>
        </w:rPr>
        <w:br/>
      </w:r>
      <w:r w:rsidRPr="00B618B1">
        <w:rPr>
          <w:rFonts w:ascii="Times New Roman" w:hAnsi="Times New Roman"/>
          <w:sz w:val="24"/>
          <w:szCs w:val="24"/>
        </w:rPr>
        <w:lastRenderedPageBreak/>
        <w:t xml:space="preserve">Waldemar </w:t>
      </w:r>
      <w:proofErr w:type="spellStart"/>
      <w:r w:rsidRPr="00B618B1">
        <w:rPr>
          <w:rFonts w:ascii="Times New Roman" w:hAnsi="Times New Roman"/>
          <w:sz w:val="24"/>
          <w:szCs w:val="24"/>
        </w:rPr>
        <w:t>Durkin</w:t>
      </w:r>
      <w:proofErr w:type="spellEnd"/>
      <w:r w:rsidRPr="00B618B1">
        <w:rPr>
          <w:rFonts w:ascii="Times New Roman" w:hAnsi="Times New Roman"/>
          <w:sz w:val="24"/>
          <w:szCs w:val="24"/>
        </w:rPr>
        <w:t xml:space="preserve"> </w:t>
      </w:r>
      <w:r w:rsidRPr="00B618B1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B618B1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B618B1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B618B1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B618B1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B618B1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618B1"/>
    <w:rsid w:val="00370282"/>
    <w:rsid w:val="00940EB8"/>
    <w:rsid w:val="00B618B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2021-11-02T09:14:00Z</dcterms:created>
  <dcterms:modified xsi:type="dcterms:W3CDTF">2021-11-02T09:14:00Z</dcterms:modified>
</cp:coreProperties>
</file>