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E" w:rsidRPr="005831D6" w:rsidRDefault="005831D6" w:rsidP="001E1E0E">
      <w:pPr>
        <w:jc w:val="center"/>
        <w:rPr>
          <w:rFonts w:ascii="Arial" w:hAnsi="Arial" w:cs="Arial"/>
          <w:b/>
        </w:rPr>
      </w:pPr>
      <w:r w:rsidRPr="005831D6">
        <w:rPr>
          <w:rFonts w:ascii="Arial" w:hAnsi="Arial" w:cs="Arial"/>
          <w:b/>
        </w:rPr>
        <w:t>Uchwała Nr 102</w:t>
      </w:r>
      <w:r w:rsidR="001E1E0E" w:rsidRPr="005831D6">
        <w:rPr>
          <w:rFonts w:ascii="Arial" w:hAnsi="Arial" w:cs="Arial"/>
          <w:b/>
        </w:rPr>
        <w:t>/2023</w:t>
      </w:r>
    </w:p>
    <w:p w:rsidR="001E1E0E" w:rsidRPr="005831D6" w:rsidRDefault="001E1E0E" w:rsidP="001E1E0E">
      <w:pPr>
        <w:jc w:val="center"/>
        <w:rPr>
          <w:rFonts w:ascii="Arial" w:hAnsi="Arial" w:cs="Arial"/>
          <w:b/>
        </w:rPr>
      </w:pPr>
      <w:r w:rsidRPr="005831D6">
        <w:rPr>
          <w:rFonts w:ascii="Arial" w:hAnsi="Arial" w:cs="Arial"/>
          <w:b/>
        </w:rPr>
        <w:t>Zarządu Powiatu Pyrzyckiego</w:t>
      </w:r>
    </w:p>
    <w:p w:rsidR="001E1E0E" w:rsidRPr="005831D6" w:rsidRDefault="001E1E0E" w:rsidP="001E1E0E">
      <w:pPr>
        <w:jc w:val="center"/>
        <w:rPr>
          <w:rFonts w:ascii="Arial" w:hAnsi="Arial" w:cs="Arial"/>
          <w:b/>
        </w:rPr>
      </w:pPr>
      <w:r w:rsidRPr="005831D6">
        <w:rPr>
          <w:rFonts w:ascii="Arial" w:hAnsi="Arial" w:cs="Arial"/>
          <w:b/>
        </w:rPr>
        <w:t>z dnia 26 października 2023 r.</w:t>
      </w:r>
    </w:p>
    <w:p w:rsidR="001E1E0E" w:rsidRPr="005542D1" w:rsidRDefault="001E1E0E" w:rsidP="00396EDD">
      <w:pPr>
        <w:jc w:val="both"/>
        <w:rPr>
          <w:rFonts w:ascii="Arial" w:hAnsi="Arial" w:cs="Arial"/>
          <w:b/>
        </w:rPr>
      </w:pPr>
    </w:p>
    <w:p w:rsidR="001E1E0E" w:rsidRPr="005542D1" w:rsidRDefault="001E1E0E" w:rsidP="00396EDD">
      <w:pPr>
        <w:jc w:val="both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 xml:space="preserve">w sprawie określenia zasad gospodarowania składnikami majątku ruchomego Powiatu Pyrzyckiego uzyskanego </w:t>
      </w:r>
      <w:r w:rsidR="0025598F" w:rsidRPr="005542D1">
        <w:rPr>
          <w:rFonts w:ascii="Arial" w:hAnsi="Arial" w:cs="Arial"/>
          <w:b/>
        </w:rPr>
        <w:t>w związku z realizacją projektu</w:t>
      </w:r>
      <w:r w:rsidRPr="005542D1">
        <w:rPr>
          <w:rFonts w:ascii="Arial" w:hAnsi="Arial" w:cs="Arial"/>
          <w:b/>
        </w:rPr>
        <w:t>:</w:t>
      </w:r>
      <w:r w:rsidR="0025598F" w:rsidRPr="005542D1">
        <w:rPr>
          <w:rFonts w:ascii="Arial" w:hAnsi="Arial" w:cs="Arial"/>
          <w:b/>
        </w:rPr>
        <w:t xml:space="preserve"> „Powiat Pyrzycki zapobiega wykluczeniu cyfrowemu</w:t>
      </w:r>
      <w:r w:rsidRPr="005542D1">
        <w:rPr>
          <w:rFonts w:ascii="Arial" w:hAnsi="Arial" w:cs="Arial"/>
          <w:b/>
        </w:rPr>
        <w:t>”.</w:t>
      </w:r>
    </w:p>
    <w:p w:rsidR="001E1E0E" w:rsidRPr="005542D1" w:rsidRDefault="001E1E0E" w:rsidP="001E1E0E">
      <w:pPr>
        <w:rPr>
          <w:rFonts w:ascii="Arial" w:hAnsi="Arial" w:cs="Arial"/>
        </w:rPr>
      </w:pPr>
    </w:p>
    <w:p w:rsidR="001E1E0E" w:rsidRPr="005542D1" w:rsidRDefault="001E1E0E" w:rsidP="005831D6">
      <w:pPr>
        <w:jc w:val="both"/>
        <w:rPr>
          <w:rFonts w:ascii="Arial" w:hAnsi="Arial" w:cs="Arial"/>
        </w:rPr>
      </w:pPr>
      <w:r w:rsidRPr="005542D1">
        <w:rPr>
          <w:rFonts w:ascii="Arial" w:hAnsi="Arial" w:cs="Arial"/>
        </w:rPr>
        <w:t>Na podstawie art. 32 ust. 2 pkt 3 ustawy z dnia 5 czerwca 1998 r. o samorządzie powiatowym (Dz. U. z 2022 r. poz. 1526</w:t>
      </w:r>
      <w:r w:rsidR="002F7875">
        <w:rPr>
          <w:rFonts w:ascii="Arial" w:hAnsi="Arial" w:cs="Arial"/>
        </w:rPr>
        <w:t xml:space="preserve"> ze zm.</w:t>
      </w:r>
      <w:r w:rsidRPr="005542D1">
        <w:rPr>
          <w:rFonts w:ascii="Arial" w:hAnsi="Arial" w:cs="Arial"/>
        </w:rPr>
        <w:t>) Zarząd Powiatu Pyrzyckiego uchwala co następuje:</w:t>
      </w:r>
    </w:p>
    <w:p w:rsidR="001E1E0E" w:rsidRPr="005542D1" w:rsidRDefault="001E1E0E" w:rsidP="001E1E0E">
      <w:pPr>
        <w:rPr>
          <w:rFonts w:ascii="Arial" w:hAnsi="Arial" w:cs="Arial"/>
        </w:rPr>
      </w:pPr>
    </w:p>
    <w:p w:rsidR="004B5094" w:rsidRPr="005542D1" w:rsidRDefault="001E1E0E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1.</w:t>
      </w:r>
    </w:p>
    <w:p w:rsidR="001E1E0E" w:rsidRPr="005542D1" w:rsidRDefault="001E1E0E" w:rsidP="00396EDD">
      <w:pPr>
        <w:jc w:val="both"/>
        <w:rPr>
          <w:rFonts w:ascii="Arial" w:hAnsi="Arial" w:cs="Arial"/>
        </w:rPr>
      </w:pPr>
      <w:r w:rsidRPr="005542D1">
        <w:rPr>
          <w:rFonts w:ascii="Arial" w:hAnsi="Arial" w:cs="Arial"/>
        </w:rPr>
        <w:t>Uchwala się sposób gospod</w:t>
      </w:r>
      <w:r w:rsidR="007A403C" w:rsidRPr="005542D1">
        <w:rPr>
          <w:rFonts w:ascii="Arial" w:hAnsi="Arial" w:cs="Arial"/>
        </w:rPr>
        <w:t>a</w:t>
      </w:r>
      <w:r w:rsidRPr="005542D1">
        <w:rPr>
          <w:rFonts w:ascii="Arial" w:hAnsi="Arial" w:cs="Arial"/>
        </w:rPr>
        <w:t xml:space="preserve">rowania składnikami rzeczowymi majątku ruchomego oraz prawami a dobrach niematerialnych, uzyskanymi przez Powiat Pyrzycki </w:t>
      </w:r>
      <w:r w:rsidR="005831D6">
        <w:rPr>
          <w:rFonts w:ascii="Arial" w:hAnsi="Arial" w:cs="Arial"/>
        </w:rPr>
        <w:br/>
      </w:r>
      <w:r w:rsidRPr="005542D1">
        <w:rPr>
          <w:rFonts w:ascii="Arial" w:hAnsi="Arial" w:cs="Arial"/>
        </w:rPr>
        <w:t>w związku z realizacją proje</w:t>
      </w:r>
      <w:r w:rsidR="007B635F" w:rsidRPr="005542D1">
        <w:rPr>
          <w:rFonts w:ascii="Arial" w:hAnsi="Arial" w:cs="Arial"/>
        </w:rPr>
        <w:t>ktu „Powiat Pyrzycki zapobiega wykluczeniu cyfrowemu</w:t>
      </w:r>
      <w:r w:rsidRPr="005542D1">
        <w:rPr>
          <w:rFonts w:ascii="Arial" w:hAnsi="Arial" w:cs="Arial"/>
        </w:rPr>
        <w:t>”.</w:t>
      </w:r>
    </w:p>
    <w:p w:rsidR="001E1E0E" w:rsidRPr="005542D1" w:rsidRDefault="001E1E0E">
      <w:pPr>
        <w:rPr>
          <w:rFonts w:ascii="Arial" w:hAnsi="Arial" w:cs="Arial"/>
        </w:rPr>
      </w:pPr>
    </w:p>
    <w:p w:rsidR="001E1E0E" w:rsidRPr="005542D1" w:rsidRDefault="001E1E0E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2.</w:t>
      </w:r>
    </w:p>
    <w:p w:rsidR="001E1E0E" w:rsidRPr="005542D1" w:rsidRDefault="001E1E0E" w:rsidP="00396EDD">
      <w:pPr>
        <w:jc w:val="both"/>
        <w:rPr>
          <w:rFonts w:ascii="Arial" w:hAnsi="Arial" w:cs="Arial"/>
        </w:rPr>
      </w:pPr>
      <w:r w:rsidRPr="005542D1">
        <w:rPr>
          <w:rFonts w:ascii="Arial" w:hAnsi="Arial" w:cs="Arial"/>
        </w:rPr>
        <w:t>Ilekroć w uchwale jest mowa o:</w:t>
      </w:r>
    </w:p>
    <w:p w:rsidR="001E1E0E" w:rsidRPr="005542D1" w:rsidRDefault="00396EDD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z</w:t>
      </w:r>
      <w:r w:rsidR="001E1E0E" w:rsidRPr="005542D1">
        <w:rPr>
          <w:rFonts w:ascii="Arial" w:hAnsi="Arial" w:cs="Arial"/>
          <w:szCs w:val="24"/>
        </w:rPr>
        <w:t>będnych składnikach rzeczowych majątku ruchomego – rozumie się przez to składniki rzeczowe ruchomego majątku, które:</w:t>
      </w:r>
    </w:p>
    <w:p w:rsidR="00EC0527" w:rsidRPr="005542D1" w:rsidRDefault="00EC0527" w:rsidP="00396E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 xml:space="preserve">nie są i nie będą w przyszłości wykorzystane w celu realizacji zadań powiatu </w:t>
      </w:r>
      <w:r w:rsidR="007B635F" w:rsidRPr="005542D1">
        <w:rPr>
          <w:rFonts w:ascii="Arial" w:hAnsi="Arial" w:cs="Arial"/>
          <w:szCs w:val="24"/>
        </w:rPr>
        <w:br/>
      </w:r>
      <w:r w:rsidRPr="005542D1">
        <w:rPr>
          <w:rFonts w:ascii="Arial" w:hAnsi="Arial" w:cs="Arial"/>
          <w:szCs w:val="24"/>
        </w:rPr>
        <w:t>w Starostwie Powiatowym w Pyrzycach, lub</w:t>
      </w:r>
    </w:p>
    <w:p w:rsidR="001E1E0E" w:rsidRPr="005542D1" w:rsidRDefault="007B635F" w:rsidP="00396E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nie nadają się do użytkowania</w:t>
      </w:r>
      <w:r w:rsidR="00EC0527" w:rsidRPr="005542D1">
        <w:rPr>
          <w:rFonts w:ascii="Arial" w:hAnsi="Arial" w:cs="Arial"/>
          <w:szCs w:val="24"/>
        </w:rPr>
        <w:t xml:space="preserve"> łącznie ze sprzętem komputerowym użytkownym </w:t>
      </w:r>
      <w:r w:rsidRPr="005542D1">
        <w:rPr>
          <w:rFonts w:ascii="Arial" w:hAnsi="Arial" w:cs="Arial"/>
          <w:szCs w:val="24"/>
        </w:rPr>
        <w:br/>
      </w:r>
      <w:r w:rsidR="00EC0527" w:rsidRPr="005542D1">
        <w:rPr>
          <w:rFonts w:ascii="Arial" w:hAnsi="Arial" w:cs="Arial"/>
          <w:szCs w:val="24"/>
        </w:rPr>
        <w:t>w Starostwie Powiatowym w Pyrzycach, a ich dostosowanie byłoby ekonomicznie lub technicznie nieuzasadnione, lub</w:t>
      </w:r>
    </w:p>
    <w:p w:rsidR="00EC0527" w:rsidRPr="005542D1" w:rsidRDefault="00EC0527" w:rsidP="00396E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nie nadają się do dalszego użytku, a ich naprawa lub dostosowanie byłoby ekonomicznie lub technicznie niezasadne,</w:t>
      </w:r>
    </w:p>
    <w:p w:rsidR="00EC0527" w:rsidRPr="005542D1" w:rsidRDefault="00EC0527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zbędnych prawach na dobrach niematerialnych – należy przez to rozumieć składniki majątku, które:</w:t>
      </w:r>
    </w:p>
    <w:p w:rsidR="00EC0527" w:rsidRPr="005542D1" w:rsidRDefault="00EC0527" w:rsidP="00396E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nie są i nie będą mogły być wykorzystane w realizacji zadań powiatu realizowanych w Starostwie Powiatowym w Pyrzycach lub</w:t>
      </w:r>
    </w:p>
    <w:p w:rsidR="00EC0527" w:rsidRPr="005542D1" w:rsidRDefault="00EC0527" w:rsidP="00396ED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 xml:space="preserve">nie nadają się do wykorzystania na sprzęcie używanym w Starostwie Powiatowym </w:t>
      </w:r>
      <w:r w:rsidR="007B635F" w:rsidRPr="005542D1">
        <w:rPr>
          <w:rFonts w:ascii="Arial" w:hAnsi="Arial" w:cs="Arial"/>
          <w:szCs w:val="24"/>
        </w:rPr>
        <w:br/>
      </w:r>
      <w:r w:rsidRPr="005542D1">
        <w:rPr>
          <w:rFonts w:ascii="Arial" w:hAnsi="Arial" w:cs="Arial"/>
          <w:szCs w:val="24"/>
        </w:rPr>
        <w:t xml:space="preserve">w Pyrzycach, a ich </w:t>
      </w:r>
      <w:r w:rsidR="0032527A" w:rsidRPr="005542D1">
        <w:rPr>
          <w:rFonts w:ascii="Arial" w:hAnsi="Arial" w:cs="Arial"/>
          <w:szCs w:val="24"/>
        </w:rPr>
        <w:t>dostosowanie byłoby ekonomicznie nieuzasadnione,</w:t>
      </w:r>
    </w:p>
    <w:p w:rsidR="0032527A" w:rsidRPr="005542D1" w:rsidRDefault="0032527A" w:rsidP="00396ED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zużytych składnikach rzeczowych majątku ruchomego – należy przez to rozumieć składniki rzeczowe majątku ruchomego:</w:t>
      </w:r>
    </w:p>
    <w:p w:rsidR="0032527A" w:rsidRPr="005542D1" w:rsidRDefault="0032527A" w:rsidP="00396E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posiadające wady lub uszkodzenia, których naprawa byłaby technicznie i ekonomicznie nieuzasadniona, lub</w:t>
      </w:r>
    </w:p>
    <w:p w:rsidR="0032527A" w:rsidRPr="005542D1" w:rsidRDefault="0032527A" w:rsidP="00396E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zagrażające bezpieczeństwu użytkowników, lub</w:t>
      </w:r>
    </w:p>
    <w:p w:rsidR="0032527A" w:rsidRPr="005542D1" w:rsidRDefault="0032527A" w:rsidP="00396ED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które są technicznie przestarzałe, a ich remont byłby ekonomicznie nieuzasadniony.</w:t>
      </w:r>
    </w:p>
    <w:p w:rsidR="0032527A" w:rsidRPr="005542D1" w:rsidRDefault="0032527A" w:rsidP="0032527A">
      <w:pPr>
        <w:ind w:left="360"/>
        <w:rPr>
          <w:rFonts w:ascii="Arial" w:hAnsi="Arial" w:cs="Arial"/>
        </w:rPr>
      </w:pPr>
    </w:p>
    <w:p w:rsidR="0032527A" w:rsidRPr="005542D1" w:rsidRDefault="0032527A" w:rsidP="007B635F">
      <w:pPr>
        <w:ind w:left="360"/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3.</w:t>
      </w:r>
    </w:p>
    <w:p w:rsidR="0032527A" w:rsidRPr="005542D1" w:rsidRDefault="0032527A" w:rsidP="00396EDD">
      <w:pPr>
        <w:ind w:left="360"/>
        <w:jc w:val="both"/>
        <w:rPr>
          <w:rFonts w:ascii="Arial" w:hAnsi="Arial" w:cs="Arial"/>
        </w:rPr>
      </w:pPr>
      <w:r w:rsidRPr="005542D1">
        <w:rPr>
          <w:rFonts w:ascii="Arial" w:hAnsi="Arial" w:cs="Arial"/>
        </w:rPr>
        <w:t>Składniki rzeczowe majątku ruchomego oraz prawa na dobrach niematerialnych mogą być wykorzystywane do realizacji zadań innych jednostek organizacyjnych powiatu, jeżeli nie ogranicza to wykonywania własnych zadań realizowanych przez Starostwo Powiatowe i nie powoduje powstania dodatkowych kosztów po jego stronie.</w:t>
      </w:r>
    </w:p>
    <w:p w:rsidR="0032527A" w:rsidRPr="005542D1" w:rsidRDefault="0032527A" w:rsidP="0032527A">
      <w:pPr>
        <w:ind w:left="360"/>
        <w:rPr>
          <w:rFonts w:ascii="Arial" w:hAnsi="Arial" w:cs="Arial"/>
        </w:rPr>
      </w:pPr>
    </w:p>
    <w:p w:rsidR="0032527A" w:rsidRPr="005542D1" w:rsidRDefault="0032527A" w:rsidP="00396EDD">
      <w:pPr>
        <w:ind w:left="360"/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lastRenderedPageBreak/>
        <w:t>§ 4.</w:t>
      </w:r>
    </w:p>
    <w:p w:rsidR="007A403C" w:rsidRPr="005542D1" w:rsidRDefault="0032527A" w:rsidP="00396E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Oceny przydatności składników rzeczowych majątku ruchomego oraz praw na dobrach niematerialnych, uzyskanych w ramach pr</w:t>
      </w:r>
      <w:r w:rsidR="005542D1" w:rsidRPr="005542D1">
        <w:rPr>
          <w:rFonts w:ascii="Arial" w:hAnsi="Arial" w:cs="Arial"/>
          <w:szCs w:val="24"/>
        </w:rPr>
        <w:t>ojektu „Powiat Pyrzycki przeciwdziała wykluczeniu cyfrowemu</w:t>
      </w:r>
      <w:r w:rsidRPr="005542D1">
        <w:rPr>
          <w:rFonts w:ascii="Arial" w:hAnsi="Arial" w:cs="Arial"/>
          <w:szCs w:val="24"/>
        </w:rPr>
        <w:t>” z uw</w:t>
      </w:r>
      <w:r w:rsidR="007A403C" w:rsidRPr="005542D1">
        <w:rPr>
          <w:rFonts w:ascii="Arial" w:hAnsi="Arial" w:cs="Arial"/>
          <w:szCs w:val="24"/>
        </w:rPr>
        <w:t>z</w:t>
      </w:r>
      <w:r w:rsidRPr="005542D1">
        <w:rPr>
          <w:rFonts w:ascii="Arial" w:hAnsi="Arial" w:cs="Arial"/>
          <w:szCs w:val="24"/>
        </w:rPr>
        <w:t>ględnieniem ich stanu technicznego do dalszego u</w:t>
      </w:r>
      <w:r w:rsidR="007A403C" w:rsidRPr="005542D1">
        <w:rPr>
          <w:rFonts w:ascii="Arial" w:hAnsi="Arial" w:cs="Arial"/>
          <w:szCs w:val="24"/>
        </w:rPr>
        <w:t xml:space="preserve">żytkowania w oparciu o kryteria, o których mowa w </w:t>
      </w:r>
      <w:r w:rsidRPr="005542D1">
        <w:rPr>
          <w:rFonts w:ascii="Arial" w:hAnsi="Arial" w:cs="Arial"/>
          <w:szCs w:val="24"/>
        </w:rPr>
        <w:t xml:space="preserve"> </w:t>
      </w:r>
      <w:r w:rsidR="007A403C" w:rsidRPr="005542D1">
        <w:rPr>
          <w:rFonts w:ascii="Arial" w:hAnsi="Arial" w:cs="Arial"/>
          <w:szCs w:val="24"/>
        </w:rPr>
        <w:t>§ 2 pkt 1 – 3 dokona komisja powołana przez Starostę</w:t>
      </w:r>
      <w:r w:rsidR="00396EDD" w:rsidRPr="005542D1">
        <w:rPr>
          <w:rFonts w:ascii="Arial" w:hAnsi="Arial" w:cs="Arial"/>
          <w:szCs w:val="24"/>
        </w:rPr>
        <w:t xml:space="preserve"> Pyrzyckiego</w:t>
      </w:r>
      <w:r w:rsidR="007A403C" w:rsidRPr="005542D1">
        <w:rPr>
          <w:rFonts w:ascii="Arial" w:hAnsi="Arial" w:cs="Arial"/>
          <w:szCs w:val="24"/>
        </w:rPr>
        <w:t xml:space="preserve"> stosownym zarządzeniem. </w:t>
      </w:r>
    </w:p>
    <w:p w:rsidR="007A403C" w:rsidRPr="005542D1" w:rsidRDefault="007A403C" w:rsidP="00396ED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Komisja sporządza protokół z przeprowadzone</w:t>
      </w:r>
      <w:r w:rsidR="00396EDD" w:rsidRPr="005542D1">
        <w:rPr>
          <w:rFonts w:ascii="Arial" w:hAnsi="Arial" w:cs="Arial"/>
          <w:szCs w:val="24"/>
        </w:rPr>
        <w:t>j oceny, o której mowa w ust. 1.</w:t>
      </w:r>
      <w:r w:rsidRPr="005542D1">
        <w:rPr>
          <w:rFonts w:ascii="Arial" w:hAnsi="Arial" w:cs="Arial"/>
          <w:szCs w:val="24"/>
        </w:rPr>
        <w:t xml:space="preserve"> </w:t>
      </w:r>
      <w:r w:rsidR="00396EDD" w:rsidRPr="005542D1">
        <w:rPr>
          <w:rFonts w:ascii="Arial" w:hAnsi="Arial" w:cs="Arial"/>
          <w:szCs w:val="24"/>
        </w:rPr>
        <w:br/>
      </w:r>
      <w:r w:rsidRPr="005542D1">
        <w:rPr>
          <w:rFonts w:ascii="Arial" w:hAnsi="Arial" w:cs="Arial"/>
          <w:szCs w:val="24"/>
        </w:rPr>
        <w:t xml:space="preserve">Do protokołu Komisja załącza wykaz składników rzeczowych majątku ruchomego oraz praw na dobrach niematerialnych, z propozycją ich zagospodarowania. </w:t>
      </w:r>
    </w:p>
    <w:p w:rsidR="0032527A" w:rsidRPr="005542D1" w:rsidRDefault="0032527A" w:rsidP="007A403C">
      <w:pPr>
        <w:ind w:left="360"/>
        <w:rPr>
          <w:rFonts w:ascii="Arial" w:hAnsi="Arial" w:cs="Arial"/>
        </w:rPr>
      </w:pPr>
    </w:p>
    <w:p w:rsidR="0025313F" w:rsidRPr="005542D1" w:rsidRDefault="007A403C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5.</w:t>
      </w:r>
    </w:p>
    <w:p w:rsidR="007A403C" w:rsidRPr="005542D1" w:rsidRDefault="0025313F" w:rsidP="00396E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Komisja rekomenduje Zarządowi Powiatu dalszy sposób postępowania ze sprzętem komputerowym poprzez jego dalsze użytkowanie albo zakwalifikowanie składników majątkowych do kategorii majątku zużytego lub zbędnego z przeznaczeniem do ich zagospodarowania w następujący sposób:</w:t>
      </w:r>
    </w:p>
    <w:p w:rsidR="0025313F" w:rsidRPr="005542D1" w:rsidRDefault="0025313F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nieodpłatnego przekazania jednostce organizacyjnej powiatu,</w:t>
      </w:r>
    </w:p>
    <w:p w:rsidR="0025313F" w:rsidRPr="005542D1" w:rsidRDefault="00802952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sprzedaży,</w:t>
      </w:r>
    </w:p>
    <w:p w:rsidR="005542D1" w:rsidRPr="005542D1" w:rsidRDefault="00802952" w:rsidP="005542D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darowizny,</w:t>
      </w:r>
    </w:p>
    <w:p w:rsidR="00802952" w:rsidRPr="005542D1" w:rsidRDefault="00802952" w:rsidP="00396E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>likwidacji.</w:t>
      </w:r>
    </w:p>
    <w:p w:rsidR="00802952" w:rsidRPr="005542D1" w:rsidRDefault="00802952" w:rsidP="00802952">
      <w:pPr>
        <w:pStyle w:val="Akapitzlist"/>
        <w:rPr>
          <w:rFonts w:ascii="Arial" w:hAnsi="Arial" w:cs="Arial"/>
          <w:szCs w:val="24"/>
        </w:rPr>
      </w:pPr>
    </w:p>
    <w:p w:rsidR="00177D5D" w:rsidRPr="005542D1" w:rsidRDefault="00802952" w:rsidP="00396E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 xml:space="preserve">Przed wyborem sposobu zagospodarowania składników majątku ruchomego oraz praw na dobrach niematerialnych Komisja ustala wartość rynkową tych składników. Wartość rynkową określa się stosując przeciętną cenę brutto stosowaną w obrocie rzeczami tego samego rodzaju i gatunku ustaloną </w:t>
      </w:r>
      <w:r w:rsidR="00177D5D" w:rsidRPr="005542D1">
        <w:rPr>
          <w:rFonts w:ascii="Arial" w:hAnsi="Arial" w:cs="Arial"/>
          <w:szCs w:val="24"/>
        </w:rPr>
        <w:t>na podstawie informacji uzyskanych od dostawców, z uwzględnieniem stanu i stopnia zużycia tych składników, a jeżeli danego rodzaju rzeczy zostały wycofane z obrotu rynkowego – na podstawie cen ze stron internetowych.</w:t>
      </w:r>
    </w:p>
    <w:p w:rsidR="00802952" w:rsidRPr="005542D1" w:rsidRDefault="00177D5D" w:rsidP="00396ED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 xml:space="preserve">Przy gospodarowaniu zbędnymi składnikami majątku ruchomego oraz prawami na dobrach niematerialnych uwzględnia się w pierwszej kolejności potrzeby jednostek organizacyjnych powiatu. </w:t>
      </w:r>
      <w:r w:rsidR="00802952" w:rsidRPr="005542D1">
        <w:rPr>
          <w:rFonts w:ascii="Arial" w:hAnsi="Arial" w:cs="Arial"/>
          <w:szCs w:val="24"/>
        </w:rPr>
        <w:t xml:space="preserve"> </w:t>
      </w:r>
    </w:p>
    <w:p w:rsidR="00177D5D" w:rsidRPr="005542D1" w:rsidRDefault="00177D5D" w:rsidP="00177D5D">
      <w:pPr>
        <w:rPr>
          <w:rFonts w:ascii="Arial" w:hAnsi="Arial" w:cs="Arial"/>
        </w:rPr>
      </w:pPr>
    </w:p>
    <w:p w:rsidR="00177D5D" w:rsidRPr="005542D1" w:rsidRDefault="00177D5D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6.</w:t>
      </w:r>
    </w:p>
    <w:p w:rsidR="00177D5D" w:rsidRPr="005542D1" w:rsidRDefault="004E17F1" w:rsidP="00396E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 Pyrzycki </w:t>
      </w:r>
      <w:r w:rsidR="00177D5D" w:rsidRPr="005542D1">
        <w:rPr>
          <w:rFonts w:ascii="Arial" w:hAnsi="Arial" w:cs="Arial"/>
          <w:szCs w:val="24"/>
        </w:rPr>
        <w:t xml:space="preserve"> może przekazać na podstawie protokołu zdawczo-odbiorczego składnik rzeczowego majątku ruchomego</w:t>
      </w:r>
      <w:r w:rsidR="002F7875">
        <w:rPr>
          <w:rFonts w:ascii="Arial" w:hAnsi="Arial" w:cs="Arial"/>
          <w:szCs w:val="24"/>
        </w:rPr>
        <w:t xml:space="preserve"> zakwalifikowany jako zbędny</w:t>
      </w:r>
      <w:r w:rsidR="00177D5D" w:rsidRPr="005542D1">
        <w:rPr>
          <w:rFonts w:ascii="Arial" w:hAnsi="Arial" w:cs="Arial"/>
          <w:szCs w:val="24"/>
        </w:rPr>
        <w:t xml:space="preserve"> oraz</w:t>
      </w:r>
      <w:r w:rsidR="002F7875">
        <w:rPr>
          <w:rFonts w:ascii="Arial" w:hAnsi="Arial" w:cs="Arial"/>
          <w:szCs w:val="24"/>
        </w:rPr>
        <w:t xml:space="preserve"> zakwalifikowane jako zbędne</w:t>
      </w:r>
      <w:bookmarkStart w:id="0" w:name="_GoBack"/>
      <w:bookmarkEnd w:id="0"/>
      <w:r w:rsidR="00177D5D" w:rsidRPr="005542D1">
        <w:rPr>
          <w:rFonts w:ascii="Arial" w:hAnsi="Arial" w:cs="Arial"/>
          <w:szCs w:val="24"/>
        </w:rPr>
        <w:t xml:space="preserve"> prawa na dobrach niematerialnych jednostkom organizacyjnym Powiatu Pyrzyckiego</w:t>
      </w:r>
      <w:r w:rsidR="006E3A6C" w:rsidRPr="005542D1">
        <w:rPr>
          <w:rFonts w:ascii="Arial" w:hAnsi="Arial" w:cs="Arial"/>
          <w:szCs w:val="24"/>
        </w:rPr>
        <w:t xml:space="preserve">, które uczestniczyły w projekcie realizowanym przez powiat </w:t>
      </w:r>
      <w:r w:rsidR="005542D1" w:rsidRPr="005542D1">
        <w:rPr>
          <w:rFonts w:ascii="Arial" w:hAnsi="Arial" w:cs="Arial"/>
          <w:szCs w:val="24"/>
        </w:rPr>
        <w:t>pn. „Powiat Pyrzycki przeciwdziała wykluczeniu cyfrowemu</w:t>
      </w:r>
      <w:r w:rsidR="006E3A6C" w:rsidRPr="005542D1">
        <w:rPr>
          <w:rFonts w:ascii="Arial" w:hAnsi="Arial" w:cs="Arial"/>
          <w:szCs w:val="24"/>
        </w:rPr>
        <w:t>”.</w:t>
      </w:r>
    </w:p>
    <w:p w:rsidR="006E3A6C" w:rsidRPr="005542D1" w:rsidRDefault="004E17F1" w:rsidP="00396E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 Pyrzycki</w:t>
      </w:r>
      <w:r w:rsidR="006E3A6C" w:rsidRPr="005542D1">
        <w:rPr>
          <w:rFonts w:ascii="Arial" w:hAnsi="Arial" w:cs="Arial"/>
          <w:szCs w:val="24"/>
        </w:rPr>
        <w:t xml:space="preserve"> może dokonać darowizny składnika rzeczowego majątku ruchomego oraz prawa na dobrach niematerialnych zakwalifikowanych jako sprzęt zbędny, zużyty bądź zbędne prawo na dobrach niematerialnych osobom fizycznym (gospodarstwom domowym), które uczestniczyły w projekcie realizowanym przez powiat pn. „Przeciwdziałanie wykluczeniu cyfrowemu w powiecie pyrzyckim”.</w:t>
      </w:r>
    </w:p>
    <w:p w:rsidR="006E3A6C" w:rsidRPr="005542D1" w:rsidRDefault="006E3A6C" w:rsidP="00396ED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5542D1">
        <w:rPr>
          <w:rFonts w:ascii="Arial" w:hAnsi="Arial" w:cs="Arial"/>
          <w:szCs w:val="24"/>
        </w:rPr>
        <w:t xml:space="preserve">Powiat Pyrzycki może sprzedać składniki majątku ruchomego lub prawa na dobrach niematerialnych zakwalifikowane jako zbędne lub zużyte. </w:t>
      </w:r>
    </w:p>
    <w:p w:rsidR="006E3A6C" w:rsidRDefault="006E3A6C" w:rsidP="006E3A6C">
      <w:pPr>
        <w:rPr>
          <w:rFonts w:ascii="Arial" w:hAnsi="Arial" w:cs="Arial"/>
        </w:rPr>
      </w:pPr>
    </w:p>
    <w:p w:rsidR="002F7875" w:rsidRDefault="002F7875" w:rsidP="006E3A6C">
      <w:pPr>
        <w:rPr>
          <w:rFonts w:ascii="Arial" w:hAnsi="Arial" w:cs="Arial"/>
        </w:rPr>
      </w:pPr>
    </w:p>
    <w:p w:rsidR="002F7875" w:rsidRPr="005542D1" w:rsidRDefault="002F7875" w:rsidP="006E3A6C">
      <w:pPr>
        <w:rPr>
          <w:rFonts w:ascii="Arial" w:hAnsi="Arial" w:cs="Arial"/>
        </w:rPr>
      </w:pPr>
    </w:p>
    <w:p w:rsidR="006E3A6C" w:rsidRPr="005542D1" w:rsidRDefault="006E3A6C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7.</w:t>
      </w:r>
    </w:p>
    <w:p w:rsidR="006E3A6C" w:rsidRPr="005542D1" w:rsidRDefault="006E3A6C" w:rsidP="006E3A6C">
      <w:pPr>
        <w:rPr>
          <w:rFonts w:ascii="Arial" w:hAnsi="Arial" w:cs="Arial"/>
        </w:rPr>
      </w:pPr>
      <w:r w:rsidRPr="005542D1">
        <w:rPr>
          <w:rFonts w:ascii="Arial" w:hAnsi="Arial" w:cs="Arial"/>
        </w:rPr>
        <w:t>Wykonanie uchwały powierza się Staroście Pyrzyckiemu.</w:t>
      </w:r>
    </w:p>
    <w:p w:rsidR="006E3A6C" w:rsidRPr="005542D1" w:rsidRDefault="006E3A6C" w:rsidP="00396EDD">
      <w:pPr>
        <w:jc w:val="center"/>
        <w:rPr>
          <w:rFonts w:ascii="Arial" w:hAnsi="Arial" w:cs="Arial"/>
          <w:b/>
        </w:rPr>
      </w:pPr>
    </w:p>
    <w:p w:rsidR="006E3A6C" w:rsidRPr="005542D1" w:rsidRDefault="006E3A6C" w:rsidP="00396EDD">
      <w:pPr>
        <w:jc w:val="center"/>
        <w:rPr>
          <w:rFonts w:ascii="Arial" w:hAnsi="Arial" w:cs="Arial"/>
          <w:b/>
        </w:rPr>
      </w:pPr>
      <w:r w:rsidRPr="005542D1">
        <w:rPr>
          <w:rFonts w:ascii="Arial" w:hAnsi="Arial" w:cs="Arial"/>
          <w:b/>
        </w:rPr>
        <w:t>§ 8.</w:t>
      </w:r>
    </w:p>
    <w:p w:rsidR="001E1E0E" w:rsidRDefault="006E3A6C">
      <w:pPr>
        <w:rPr>
          <w:rFonts w:ascii="Arial" w:hAnsi="Arial" w:cs="Arial"/>
        </w:rPr>
      </w:pPr>
      <w:r w:rsidRPr="005542D1">
        <w:rPr>
          <w:rFonts w:ascii="Arial" w:hAnsi="Arial" w:cs="Arial"/>
        </w:rPr>
        <w:t xml:space="preserve">Uchwała wchodzi w życie z dniem podjęcia. </w:t>
      </w:r>
    </w:p>
    <w:p w:rsidR="005542D1" w:rsidRDefault="005542D1">
      <w:pPr>
        <w:rPr>
          <w:rFonts w:ascii="Arial" w:hAnsi="Arial" w:cs="Arial"/>
        </w:rPr>
      </w:pPr>
    </w:p>
    <w:p w:rsidR="005542D1" w:rsidRDefault="00177C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7C7C" w:rsidRPr="00177C7C" w:rsidRDefault="00177C7C">
      <w:pPr>
        <w:rPr>
          <w:rFonts w:ascii="Arial" w:hAnsi="Arial" w:cs="Arial"/>
        </w:rPr>
      </w:pPr>
    </w:p>
    <w:p w:rsidR="005542D1" w:rsidRPr="00177C7C" w:rsidRDefault="00177C7C" w:rsidP="00177C7C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C7C">
        <w:rPr>
          <w:rFonts w:ascii="Arial" w:hAnsi="Arial" w:cs="Arial"/>
          <w:b/>
        </w:rPr>
        <w:t>Przewodniczący Zarządu</w:t>
      </w:r>
    </w:p>
    <w:p w:rsidR="00177C7C" w:rsidRPr="00177C7C" w:rsidRDefault="00177C7C" w:rsidP="00177C7C">
      <w:pPr>
        <w:ind w:left="2832" w:firstLine="708"/>
        <w:rPr>
          <w:rFonts w:ascii="Arial" w:hAnsi="Arial" w:cs="Arial"/>
          <w:b/>
        </w:rPr>
      </w:pPr>
      <w:r w:rsidRPr="00177C7C">
        <w:rPr>
          <w:rFonts w:ascii="Arial" w:hAnsi="Arial" w:cs="Arial"/>
          <w:b/>
        </w:rPr>
        <w:tab/>
      </w:r>
      <w:r w:rsidRPr="00177C7C">
        <w:rPr>
          <w:rFonts w:ascii="Arial" w:hAnsi="Arial" w:cs="Arial"/>
          <w:b/>
        </w:rPr>
        <w:tab/>
        <w:t xml:space="preserve">   Powiatu Pyrzyckiego</w:t>
      </w:r>
    </w:p>
    <w:p w:rsidR="00177C7C" w:rsidRPr="00177C7C" w:rsidRDefault="00177C7C" w:rsidP="00177C7C">
      <w:pPr>
        <w:ind w:left="2832" w:firstLine="708"/>
        <w:rPr>
          <w:rFonts w:ascii="Arial" w:hAnsi="Arial" w:cs="Arial"/>
          <w:b/>
        </w:rPr>
      </w:pPr>
    </w:p>
    <w:p w:rsidR="00177C7C" w:rsidRPr="00177C7C" w:rsidRDefault="00177C7C" w:rsidP="00177C7C">
      <w:pPr>
        <w:ind w:left="2832" w:firstLine="708"/>
        <w:rPr>
          <w:rFonts w:ascii="Arial" w:hAnsi="Arial" w:cs="Arial"/>
          <w:b/>
        </w:rPr>
      </w:pPr>
      <w:r w:rsidRPr="00177C7C">
        <w:rPr>
          <w:rFonts w:ascii="Arial" w:hAnsi="Arial" w:cs="Arial"/>
          <w:b/>
        </w:rPr>
        <w:tab/>
      </w:r>
      <w:r w:rsidRPr="00177C7C">
        <w:rPr>
          <w:rFonts w:ascii="Arial" w:hAnsi="Arial" w:cs="Arial"/>
          <w:b/>
        </w:rPr>
        <w:tab/>
        <w:t xml:space="preserve">     Stanisław Stępień</w:t>
      </w:r>
    </w:p>
    <w:sectPr w:rsidR="00177C7C" w:rsidRPr="0017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9F" w:rsidRDefault="00792A9F" w:rsidP="005542D1">
      <w:r>
        <w:separator/>
      </w:r>
    </w:p>
  </w:endnote>
  <w:endnote w:type="continuationSeparator" w:id="0">
    <w:p w:rsidR="00792A9F" w:rsidRDefault="00792A9F" w:rsidP="0055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9F" w:rsidRDefault="00792A9F" w:rsidP="005542D1">
      <w:r>
        <w:separator/>
      </w:r>
    </w:p>
  </w:footnote>
  <w:footnote w:type="continuationSeparator" w:id="0">
    <w:p w:rsidR="00792A9F" w:rsidRDefault="00792A9F" w:rsidP="0055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70"/>
    <w:multiLevelType w:val="hybridMultilevel"/>
    <w:tmpl w:val="1F767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852"/>
    <w:multiLevelType w:val="hybridMultilevel"/>
    <w:tmpl w:val="F70E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0EB"/>
    <w:multiLevelType w:val="hybridMultilevel"/>
    <w:tmpl w:val="860E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E91"/>
    <w:multiLevelType w:val="hybridMultilevel"/>
    <w:tmpl w:val="E8F2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5A88"/>
    <w:multiLevelType w:val="hybridMultilevel"/>
    <w:tmpl w:val="53C29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3D0"/>
    <w:multiLevelType w:val="hybridMultilevel"/>
    <w:tmpl w:val="C83A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63B5"/>
    <w:multiLevelType w:val="hybridMultilevel"/>
    <w:tmpl w:val="EB68B302"/>
    <w:lvl w:ilvl="0" w:tplc="4A94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5625F"/>
    <w:multiLevelType w:val="hybridMultilevel"/>
    <w:tmpl w:val="DCC0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0BCF"/>
    <w:multiLevelType w:val="hybridMultilevel"/>
    <w:tmpl w:val="AF4C8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DA7"/>
    <w:multiLevelType w:val="hybridMultilevel"/>
    <w:tmpl w:val="AAA8A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0E"/>
    <w:rsid w:val="00142C4C"/>
    <w:rsid w:val="00177C7C"/>
    <w:rsid w:val="00177D5D"/>
    <w:rsid w:val="001A5FEC"/>
    <w:rsid w:val="001E1E0E"/>
    <w:rsid w:val="0025313F"/>
    <w:rsid w:val="0025598F"/>
    <w:rsid w:val="002F7875"/>
    <w:rsid w:val="0032527A"/>
    <w:rsid w:val="00396EDD"/>
    <w:rsid w:val="004B5094"/>
    <w:rsid w:val="004E17F1"/>
    <w:rsid w:val="005542D1"/>
    <w:rsid w:val="005831D6"/>
    <w:rsid w:val="005C7778"/>
    <w:rsid w:val="00637765"/>
    <w:rsid w:val="006E3A6C"/>
    <w:rsid w:val="00792A9F"/>
    <w:rsid w:val="007A403C"/>
    <w:rsid w:val="007B635F"/>
    <w:rsid w:val="00802952"/>
    <w:rsid w:val="009C5DEA"/>
    <w:rsid w:val="00D862B6"/>
    <w:rsid w:val="00E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9AD8-2EA1-4943-89CC-D8794E8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E0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42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42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D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DF61-C344-4BDC-A7A6-428B615C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10</cp:revision>
  <cp:lastPrinted>2023-10-24T11:51:00Z</cp:lastPrinted>
  <dcterms:created xsi:type="dcterms:W3CDTF">2023-10-20T06:55:00Z</dcterms:created>
  <dcterms:modified xsi:type="dcterms:W3CDTF">2023-10-24T12:46:00Z</dcterms:modified>
</cp:coreProperties>
</file>